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05D" w:rsidRDefault="00C77423">
      <w:pPr>
        <w:rPr>
          <w:sz w:val="28"/>
        </w:rPr>
      </w:pPr>
      <w:bookmarkStart w:id="0" w:name="_GoBack"/>
      <w:bookmarkEnd w:id="0"/>
      <w:r>
        <w:rPr>
          <w:sz w:val="28"/>
        </w:rPr>
        <w:t xml:space="preserve">Employment/Family/Insurance/Real Estate </w:t>
      </w:r>
      <w:r w:rsidR="00EE476C" w:rsidRPr="00EE476C">
        <w:rPr>
          <w:sz w:val="28"/>
        </w:rPr>
        <w:t>Add-On Package</w:t>
      </w:r>
      <w:r w:rsidR="00EE476C">
        <w:rPr>
          <w:sz w:val="28"/>
        </w:rPr>
        <w:t xml:space="preserve"> - </w:t>
      </w:r>
      <w:r w:rsidR="00EE476C" w:rsidRPr="00EE476C">
        <w:rPr>
          <w:sz w:val="28"/>
        </w:rPr>
        <w:t xml:space="preserve">New! </w:t>
      </w:r>
      <w:r w:rsidR="00D5605D" w:rsidRPr="00D5605D">
        <w:rPr>
          <w:i/>
        </w:rPr>
        <w:t>(Formerly Wolters Kluwer (CCH) Legal &amp; Business Titles)</w:t>
      </w:r>
      <w:r w:rsidR="00D5605D">
        <w:t xml:space="preserve">  </w:t>
      </w:r>
    </w:p>
    <w:p w:rsidR="00D5605D" w:rsidRPr="00D5605D" w:rsidRDefault="00D5605D">
      <w:pPr>
        <w:rPr>
          <w:b/>
          <w:sz w:val="28"/>
        </w:rPr>
      </w:pPr>
    </w:p>
    <w:p w:rsidR="00EE476C" w:rsidRPr="00C77423" w:rsidRDefault="00C77423">
      <w:pPr>
        <w:rPr>
          <w:b/>
          <w:u w:val="single"/>
        </w:rPr>
      </w:pPr>
      <w:r w:rsidRPr="00C77423">
        <w:rPr>
          <w:b/>
          <w:u w:val="single"/>
        </w:rPr>
        <w:t xml:space="preserve">Employment/Family/Insurance/Real </w:t>
      </w:r>
      <w:r w:rsidR="00D5605D" w:rsidRPr="00C77423">
        <w:rPr>
          <w:b/>
          <w:u w:val="single"/>
        </w:rPr>
        <w:t xml:space="preserve">Content </w:t>
      </w:r>
    </w:p>
    <w:tbl>
      <w:tblPr>
        <w:tblStyle w:val="TableGrid"/>
        <w:tblW w:w="0" w:type="auto"/>
        <w:tblLook w:val="04A0" w:firstRow="1" w:lastRow="0" w:firstColumn="1" w:lastColumn="0" w:noHBand="0" w:noVBand="1"/>
      </w:tblPr>
      <w:tblGrid>
        <w:gridCol w:w="5652"/>
      </w:tblGrid>
      <w:tr w:rsidR="00C77423" w:rsidRPr="00EE476C" w:rsidTr="00C77423">
        <w:trPr>
          <w:trHeight w:val="242"/>
        </w:trPr>
        <w:tc>
          <w:tcPr>
            <w:tcW w:w="5652" w:type="dxa"/>
          </w:tcPr>
          <w:p w:rsidR="00C77423" w:rsidRPr="00F753C5" w:rsidRDefault="00C77423" w:rsidP="002E6A05">
            <w:r w:rsidRPr="00F753C5">
              <w:t xml:space="preserve">Canadian </w:t>
            </w:r>
            <w:proofErr w:type="spellStart"/>
            <w:r w:rsidR="002E6A05" w:rsidRPr="00F753C5">
              <w:t>Labour</w:t>
            </w:r>
            <w:proofErr w:type="spellEnd"/>
            <w:r w:rsidR="002E6A05" w:rsidRPr="00F753C5">
              <w:t xml:space="preserve"> Law Reporter  </w:t>
            </w:r>
          </w:p>
        </w:tc>
      </w:tr>
      <w:tr w:rsidR="00C77423" w:rsidRPr="00EE476C" w:rsidTr="00C77423">
        <w:trPr>
          <w:trHeight w:val="242"/>
        </w:trPr>
        <w:tc>
          <w:tcPr>
            <w:tcW w:w="5652" w:type="dxa"/>
          </w:tcPr>
          <w:p w:rsidR="00C77423" w:rsidRPr="00F753C5" w:rsidRDefault="00C77423" w:rsidP="00257DC4">
            <w:r w:rsidRPr="00F753C5">
              <w:t xml:space="preserve">Canadian </w:t>
            </w:r>
            <w:r w:rsidR="002E6A05" w:rsidRPr="00F753C5">
              <w:t>Employment Benefits &amp; Pension Guide</w:t>
            </w:r>
          </w:p>
        </w:tc>
      </w:tr>
      <w:tr w:rsidR="00C77423" w:rsidRPr="00EE476C" w:rsidTr="00C77423">
        <w:trPr>
          <w:trHeight w:val="251"/>
        </w:trPr>
        <w:tc>
          <w:tcPr>
            <w:tcW w:w="5652" w:type="dxa"/>
          </w:tcPr>
          <w:p w:rsidR="00C77423" w:rsidRPr="00F753C5" w:rsidRDefault="00C77423" w:rsidP="002E6A05">
            <w:r w:rsidRPr="00F753C5">
              <w:t xml:space="preserve">Canadian </w:t>
            </w:r>
            <w:r w:rsidR="002E6A05" w:rsidRPr="00F753C5">
              <w:t>Employment Safety &amp; Health Guide</w:t>
            </w:r>
          </w:p>
        </w:tc>
      </w:tr>
      <w:tr w:rsidR="00C77423" w:rsidRPr="00EE476C" w:rsidTr="00C77423">
        <w:trPr>
          <w:trHeight w:val="242"/>
        </w:trPr>
        <w:tc>
          <w:tcPr>
            <w:tcW w:w="5652" w:type="dxa"/>
          </w:tcPr>
          <w:p w:rsidR="00C77423" w:rsidRPr="00F753C5" w:rsidRDefault="00C77423" w:rsidP="00257DC4">
            <w:r w:rsidRPr="00F753C5">
              <w:t xml:space="preserve">Canadian </w:t>
            </w:r>
            <w:r w:rsidR="00C11778" w:rsidRPr="00F753C5">
              <w:t>Family Law Guide</w:t>
            </w:r>
          </w:p>
        </w:tc>
      </w:tr>
      <w:tr w:rsidR="00C77423" w:rsidRPr="00EE476C" w:rsidTr="00C77423">
        <w:trPr>
          <w:trHeight w:val="242"/>
        </w:trPr>
        <w:tc>
          <w:tcPr>
            <w:tcW w:w="5652" w:type="dxa"/>
          </w:tcPr>
          <w:p w:rsidR="00C77423" w:rsidRPr="00C11778" w:rsidRDefault="00C11778" w:rsidP="00257DC4">
            <w:r>
              <w:t xml:space="preserve">Canadian </w:t>
            </w:r>
            <w:r w:rsidRPr="00F753C5">
              <w:t>Estate Administration Guide</w:t>
            </w:r>
          </w:p>
        </w:tc>
      </w:tr>
      <w:tr w:rsidR="00C77423" w:rsidRPr="00EE476C" w:rsidTr="00C77423">
        <w:trPr>
          <w:trHeight w:val="242"/>
        </w:trPr>
        <w:tc>
          <w:tcPr>
            <w:tcW w:w="5652" w:type="dxa"/>
          </w:tcPr>
          <w:p w:rsidR="00C77423" w:rsidRPr="00F753C5" w:rsidRDefault="00C77423" w:rsidP="002E6A05">
            <w:r w:rsidRPr="00F753C5">
              <w:t xml:space="preserve">Canadian Insurance Law Reporter </w:t>
            </w:r>
          </w:p>
        </w:tc>
      </w:tr>
      <w:tr w:rsidR="00C77423" w:rsidRPr="00EE476C" w:rsidTr="00C77423">
        <w:trPr>
          <w:trHeight w:val="251"/>
        </w:trPr>
        <w:tc>
          <w:tcPr>
            <w:tcW w:w="5652" w:type="dxa"/>
          </w:tcPr>
          <w:p w:rsidR="00C77423" w:rsidRDefault="00C77423" w:rsidP="00257DC4">
            <w:r w:rsidRPr="00F753C5">
              <w:t>Ontario Accident Benefit Case Summaries</w:t>
            </w:r>
          </w:p>
        </w:tc>
      </w:tr>
      <w:tr w:rsidR="00C77423" w:rsidRPr="00EE476C" w:rsidTr="00C77423">
        <w:trPr>
          <w:trHeight w:val="242"/>
        </w:trPr>
        <w:tc>
          <w:tcPr>
            <w:tcW w:w="5652" w:type="dxa"/>
          </w:tcPr>
          <w:p w:rsidR="00C77423" w:rsidRPr="00DD6787" w:rsidRDefault="00761EB3" w:rsidP="00B06B5B">
            <w:r>
              <w:t>Ontario</w:t>
            </w:r>
            <w:r w:rsidR="00C77423" w:rsidRPr="00DD6787">
              <w:t xml:space="preserve"> Real Estate Guide</w:t>
            </w:r>
          </w:p>
        </w:tc>
      </w:tr>
      <w:tr w:rsidR="00C77423" w:rsidRPr="00EE476C" w:rsidTr="00C77423">
        <w:trPr>
          <w:trHeight w:val="242"/>
        </w:trPr>
        <w:tc>
          <w:tcPr>
            <w:tcW w:w="5652" w:type="dxa"/>
          </w:tcPr>
          <w:p w:rsidR="00C77423" w:rsidRDefault="00761EB3" w:rsidP="00B06B5B">
            <w:r>
              <w:t>BC</w:t>
            </w:r>
            <w:r w:rsidR="00C77423" w:rsidRPr="00DD6787">
              <w:t xml:space="preserve"> Real Estate Guide</w:t>
            </w:r>
          </w:p>
        </w:tc>
      </w:tr>
      <w:tr w:rsidR="00F33930" w:rsidRPr="00EE476C" w:rsidTr="00C77423">
        <w:trPr>
          <w:trHeight w:val="242"/>
        </w:trPr>
        <w:tc>
          <w:tcPr>
            <w:tcW w:w="5652" w:type="dxa"/>
          </w:tcPr>
          <w:p w:rsidR="00F33930" w:rsidRPr="00DD6787" w:rsidRDefault="00F33930" w:rsidP="00B06B5B">
            <w:r>
              <w:t xml:space="preserve">Health Facilities Law Guide </w:t>
            </w:r>
          </w:p>
        </w:tc>
      </w:tr>
    </w:tbl>
    <w:p w:rsidR="00D5605D" w:rsidRDefault="00D5605D" w:rsidP="00AE0C38"/>
    <w:p w:rsidR="00AE0C38" w:rsidRDefault="00577BD0" w:rsidP="00F33930">
      <w:pPr>
        <w:rPr>
          <w:b/>
          <w:u w:val="single"/>
        </w:rPr>
      </w:pPr>
      <w:r w:rsidRPr="00577BD0">
        <w:rPr>
          <w:b/>
          <w:u w:val="single"/>
        </w:rPr>
        <w:t xml:space="preserve">Content Description </w:t>
      </w:r>
    </w:p>
    <w:p w:rsidR="00F33930" w:rsidRPr="00F33930" w:rsidRDefault="00F33930" w:rsidP="00F33930">
      <w:pPr>
        <w:rPr>
          <w:b/>
        </w:rPr>
      </w:pPr>
      <w:r w:rsidRPr="00F33930">
        <w:rPr>
          <w:b/>
        </w:rPr>
        <w:t xml:space="preserve">Canadian </w:t>
      </w:r>
      <w:proofErr w:type="spellStart"/>
      <w:r w:rsidRPr="00F33930">
        <w:rPr>
          <w:b/>
        </w:rPr>
        <w:t>Labour</w:t>
      </w:r>
      <w:proofErr w:type="spellEnd"/>
      <w:r w:rsidRPr="00F33930">
        <w:rPr>
          <w:b/>
        </w:rPr>
        <w:t xml:space="preserve"> Law Reporter  </w:t>
      </w:r>
    </w:p>
    <w:p w:rsidR="00F33930" w:rsidRDefault="00F33930" w:rsidP="00F33930">
      <w:pPr>
        <w:pStyle w:val="ListParagraph"/>
        <w:numPr>
          <w:ilvl w:val="0"/>
          <w:numId w:val="13"/>
        </w:numPr>
      </w:pPr>
      <w:r>
        <w:t>Commentary, case law, legislation and a newsletter covering federal, provincial and territorial laws on employment standards, human rights, pay and employment equity, employment insurance, and collective bargaining.</w:t>
      </w:r>
    </w:p>
    <w:p w:rsidR="00F33930" w:rsidRDefault="00F33930" w:rsidP="00F33930">
      <w:pPr>
        <w:pStyle w:val="ListParagraph"/>
        <w:numPr>
          <w:ilvl w:val="0"/>
          <w:numId w:val="13"/>
        </w:numPr>
        <w:spacing w:after="0" w:line="240" w:lineRule="auto"/>
        <w:contextualSpacing w:val="0"/>
      </w:pPr>
      <w:r>
        <w:t>Legislation</w:t>
      </w:r>
    </w:p>
    <w:p w:rsidR="00F33930" w:rsidRDefault="00F33930" w:rsidP="00F33930">
      <w:pPr>
        <w:pStyle w:val="ListParagraph"/>
        <w:numPr>
          <w:ilvl w:val="1"/>
          <w:numId w:val="14"/>
        </w:numPr>
        <w:spacing w:after="0" w:line="240" w:lineRule="auto"/>
        <w:contextualSpacing w:val="0"/>
      </w:pPr>
      <w:r>
        <w:t xml:space="preserve">Canadian </w:t>
      </w:r>
      <w:proofErr w:type="spellStart"/>
      <w:r>
        <w:t>Labour</w:t>
      </w:r>
      <w:proofErr w:type="spellEnd"/>
      <w:r>
        <w:t xml:space="preserve"> Law Reporter provides coverage of federal, provincial, and territorial laws on employment standards, human rights, pay and employment equity, employment insurance, and collective bargaining. This comprehensive research tool gives you all the relevant </w:t>
      </w:r>
      <w:proofErr w:type="spellStart"/>
      <w:r>
        <w:t>labour</w:t>
      </w:r>
      <w:proofErr w:type="spellEnd"/>
      <w:r>
        <w:t xml:space="preserve"> legislation across Canada.</w:t>
      </w:r>
    </w:p>
    <w:p w:rsidR="00F33930" w:rsidRDefault="00F33930" w:rsidP="00F33930">
      <w:pPr>
        <w:pStyle w:val="ListParagraph"/>
        <w:numPr>
          <w:ilvl w:val="0"/>
          <w:numId w:val="13"/>
        </w:numPr>
        <w:spacing w:after="0" w:line="240" w:lineRule="auto"/>
        <w:contextualSpacing w:val="0"/>
      </w:pPr>
      <w:r>
        <w:t>Commentary</w:t>
      </w:r>
    </w:p>
    <w:p w:rsidR="00F33930" w:rsidRDefault="00F33930" w:rsidP="00F33930">
      <w:pPr>
        <w:pStyle w:val="ListParagraph"/>
        <w:numPr>
          <w:ilvl w:val="1"/>
          <w:numId w:val="15"/>
        </w:numPr>
        <w:spacing w:after="0" w:line="240" w:lineRule="auto"/>
        <w:contextualSpacing w:val="0"/>
      </w:pPr>
      <w:r>
        <w:t xml:space="preserve">In addition to commentary on key employment cases and practice tips, the Canadian </w:t>
      </w:r>
      <w:proofErr w:type="spellStart"/>
      <w:r>
        <w:t>Labour</w:t>
      </w:r>
      <w:proofErr w:type="spellEnd"/>
      <w:r>
        <w:t xml:space="preserve"> Law Reporter also has case annotations at the end of each commentary section so you have more case law summary information at your fingertips.</w:t>
      </w:r>
    </w:p>
    <w:p w:rsidR="00F33930" w:rsidRDefault="00F33930" w:rsidP="00F33930">
      <w:pPr>
        <w:pStyle w:val="ListParagraph"/>
        <w:numPr>
          <w:ilvl w:val="0"/>
          <w:numId w:val="13"/>
        </w:numPr>
        <w:spacing w:after="0" w:line="240" w:lineRule="auto"/>
        <w:contextualSpacing w:val="0"/>
      </w:pPr>
      <w:r>
        <w:t>Case Law</w:t>
      </w:r>
    </w:p>
    <w:p w:rsidR="00F33930" w:rsidRDefault="00F33930" w:rsidP="00F33930">
      <w:pPr>
        <w:pStyle w:val="ListParagraph"/>
        <w:numPr>
          <w:ilvl w:val="1"/>
          <w:numId w:val="16"/>
        </w:numPr>
        <w:spacing w:after="0" w:line="240" w:lineRule="auto"/>
        <w:contextualSpacing w:val="0"/>
      </w:pPr>
      <w:r>
        <w:t xml:space="preserve">The Canadian </w:t>
      </w:r>
      <w:proofErr w:type="spellStart"/>
      <w:r>
        <w:t>Labour</w:t>
      </w:r>
      <w:proofErr w:type="spellEnd"/>
      <w:r>
        <w:t xml:space="preserve"> Law Reporter has full-text court case law and decisions from boards, tribunals, commissions, etc. all across Canada, going back to the 1940's. Our cases follow the same, clear style and are always easy to follow. All cases in the employment and </w:t>
      </w:r>
      <w:proofErr w:type="spellStart"/>
      <w:r>
        <w:t>labour</w:t>
      </w:r>
      <w:proofErr w:type="spellEnd"/>
      <w:r>
        <w:t xml:space="preserve"> areas are </w:t>
      </w:r>
      <w:proofErr w:type="spellStart"/>
      <w:r>
        <w:t>analysed</w:t>
      </w:r>
      <w:proofErr w:type="spellEnd"/>
      <w:r>
        <w:t xml:space="preserve"> by our experts and the most significant are published.</w:t>
      </w:r>
    </w:p>
    <w:p w:rsidR="00F33930" w:rsidRDefault="00F33930" w:rsidP="00F33930">
      <w:pPr>
        <w:pStyle w:val="ListParagraph"/>
        <w:numPr>
          <w:ilvl w:val="0"/>
          <w:numId w:val="13"/>
        </w:numPr>
        <w:spacing w:after="0" w:line="240" w:lineRule="auto"/>
        <w:contextualSpacing w:val="0"/>
      </w:pPr>
      <w:proofErr w:type="spellStart"/>
      <w:r>
        <w:t>Labour</w:t>
      </w:r>
      <w:proofErr w:type="spellEnd"/>
      <w:r>
        <w:t xml:space="preserve"> Notes Newsletter</w:t>
      </w:r>
    </w:p>
    <w:p w:rsidR="00F33930" w:rsidRDefault="00F33930" w:rsidP="00F33930">
      <w:pPr>
        <w:pStyle w:val="ListParagraph"/>
        <w:numPr>
          <w:ilvl w:val="1"/>
          <w:numId w:val="17"/>
        </w:numPr>
        <w:spacing w:after="0" w:line="240" w:lineRule="auto"/>
        <w:contextualSpacing w:val="0"/>
      </w:pPr>
      <w:r>
        <w:t xml:space="preserve">If it's important for you to be aware of current events and issues in Canadian employment and </w:t>
      </w:r>
      <w:proofErr w:type="spellStart"/>
      <w:r>
        <w:t>labour</w:t>
      </w:r>
      <w:proofErr w:type="spellEnd"/>
      <w:r>
        <w:t xml:space="preserve"> law, you'll rely on this newsletter. Published bi-weekly, it will keep you abreast of legislative developments in employment, human rights, </w:t>
      </w:r>
      <w:proofErr w:type="spellStart"/>
      <w:r>
        <w:t>labour</w:t>
      </w:r>
      <w:proofErr w:type="spellEnd"/>
      <w:r>
        <w:t xml:space="preserve">, pay equity and employment insurance law across Canada. It provides you with digests of ground-breaking cases that affect how you deal with employees, and includes vital </w:t>
      </w:r>
      <w:r>
        <w:lastRenderedPageBreak/>
        <w:t>economic statistics, and more. Feature articles give you practical insights into trends and emerging issues in these dynamic fields to help you keep yourself current and protect your company's interests and its employees.</w:t>
      </w:r>
    </w:p>
    <w:p w:rsidR="00F33930" w:rsidRDefault="00F33930" w:rsidP="00F33930">
      <w:pPr>
        <w:pStyle w:val="ListParagraph"/>
        <w:spacing w:after="0" w:line="240" w:lineRule="auto"/>
        <w:ind w:left="2160"/>
        <w:contextualSpacing w:val="0"/>
      </w:pPr>
    </w:p>
    <w:p w:rsidR="00F33930" w:rsidRPr="00F33930" w:rsidRDefault="00F33930" w:rsidP="00F33930">
      <w:pPr>
        <w:rPr>
          <w:b/>
        </w:rPr>
      </w:pPr>
      <w:r w:rsidRPr="00F33930">
        <w:rPr>
          <w:b/>
        </w:rPr>
        <w:t>Canadian Employment Benefits &amp; Pension Guide</w:t>
      </w:r>
    </w:p>
    <w:p w:rsidR="00F33930" w:rsidRDefault="00F33930" w:rsidP="00F33930">
      <w:pPr>
        <w:pStyle w:val="ListParagraph"/>
        <w:numPr>
          <w:ilvl w:val="0"/>
          <w:numId w:val="18"/>
        </w:numPr>
      </w:pPr>
      <w:r>
        <w:t xml:space="preserve">The only resource in Canada available for both employment benefits and pensions. </w:t>
      </w:r>
    </w:p>
    <w:p w:rsidR="00F33930" w:rsidRDefault="00F33930" w:rsidP="00F33930">
      <w:pPr>
        <w:pStyle w:val="ListParagraph"/>
        <w:numPr>
          <w:ilvl w:val="0"/>
          <w:numId w:val="18"/>
        </w:numPr>
        <w:spacing w:after="0" w:line="240" w:lineRule="auto"/>
        <w:contextualSpacing w:val="0"/>
      </w:pPr>
      <w:r>
        <w:t>With this Guide, you'll have the most comprehensive library available for employment benefits and pensions in Canada. Just look over the topics covered below and you'll see that this unique publication includes all the information you need in one convenient-to-access source. Topics Covered:</w:t>
      </w:r>
    </w:p>
    <w:p w:rsidR="00F33930" w:rsidRDefault="00F33930" w:rsidP="00F33930">
      <w:pPr>
        <w:pStyle w:val="ListParagraph"/>
        <w:numPr>
          <w:ilvl w:val="1"/>
          <w:numId w:val="19"/>
        </w:numPr>
        <w:spacing w:after="0" w:line="240" w:lineRule="auto"/>
        <w:contextualSpacing w:val="0"/>
      </w:pPr>
      <w:r>
        <w:t>Government Sponsored Pension Plans</w:t>
      </w:r>
    </w:p>
    <w:p w:rsidR="00F33930" w:rsidRDefault="00F33930" w:rsidP="00F33930">
      <w:pPr>
        <w:pStyle w:val="ListParagraph"/>
        <w:numPr>
          <w:ilvl w:val="1"/>
          <w:numId w:val="19"/>
        </w:numPr>
        <w:spacing w:after="0" w:line="240" w:lineRule="auto"/>
        <w:contextualSpacing w:val="0"/>
      </w:pPr>
      <w:r>
        <w:t>Employer Plans – Standards Legislation</w:t>
      </w:r>
    </w:p>
    <w:p w:rsidR="00F33930" w:rsidRDefault="00F33930" w:rsidP="00F33930">
      <w:pPr>
        <w:pStyle w:val="ListParagraph"/>
        <w:numPr>
          <w:ilvl w:val="1"/>
          <w:numId w:val="19"/>
        </w:numPr>
        <w:spacing w:after="0" w:line="240" w:lineRule="auto"/>
        <w:contextualSpacing w:val="0"/>
      </w:pPr>
      <w:r>
        <w:t>Tax Issues – Employer Sponsored Plans</w:t>
      </w:r>
    </w:p>
    <w:p w:rsidR="00F33930" w:rsidRDefault="00F33930" w:rsidP="00F33930">
      <w:pPr>
        <w:pStyle w:val="ListParagraph"/>
        <w:numPr>
          <w:ilvl w:val="1"/>
          <w:numId w:val="19"/>
        </w:numPr>
        <w:spacing w:after="0" w:line="240" w:lineRule="auto"/>
        <w:contextualSpacing w:val="0"/>
      </w:pPr>
      <w:r>
        <w:t>Registered Retirement Savings Plans</w:t>
      </w:r>
    </w:p>
    <w:p w:rsidR="00F33930" w:rsidRDefault="00F33930" w:rsidP="00F33930">
      <w:pPr>
        <w:pStyle w:val="ListParagraph"/>
        <w:numPr>
          <w:ilvl w:val="1"/>
          <w:numId w:val="19"/>
        </w:numPr>
        <w:tabs>
          <w:tab w:val="left" w:pos="2865"/>
        </w:tabs>
        <w:spacing w:after="0" w:line="240" w:lineRule="auto"/>
        <w:contextualSpacing w:val="0"/>
      </w:pPr>
      <w:r>
        <w:t>How to Set Up a Plan</w:t>
      </w:r>
      <w:r>
        <w:tab/>
      </w:r>
    </w:p>
    <w:p w:rsidR="00F33930" w:rsidRDefault="00F33930" w:rsidP="00F33930">
      <w:pPr>
        <w:pStyle w:val="ListParagraph"/>
        <w:numPr>
          <w:ilvl w:val="1"/>
          <w:numId w:val="19"/>
        </w:numPr>
        <w:spacing w:after="0" w:line="240" w:lineRule="auto"/>
        <w:contextualSpacing w:val="0"/>
      </w:pPr>
      <w:r>
        <w:t>Plan Administration</w:t>
      </w:r>
    </w:p>
    <w:p w:rsidR="00F33930" w:rsidRDefault="00F33930" w:rsidP="00F33930">
      <w:pPr>
        <w:pStyle w:val="ListParagraph"/>
        <w:numPr>
          <w:ilvl w:val="1"/>
          <w:numId w:val="19"/>
        </w:numPr>
        <w:spacing w:after="0" w:line="240" w:lineRule="auto"/>
        <w:contextualSpacing w:val="0"/>
      </w:pPr>
      <w:r>
        <w:t>Social Security Agreements</w:t>
      </w:r>
    </w:p>
    <w:p w:rsidR="00F33930" w:rsidRDefault="00F33930" w:rsidP="00F33930">
      <w:pPr>
        <w:pStyle w:val="ListParagraph"/>
        <w:numPr>
          <w:ilvl w:val="1"/>
          <w:numId w:val="19"/>
        </w:numPr>
        <w:spacing w:after="0" w:line="240" w:lineRule="auto"/>
        <w:contextualSpacing w:val="0"/>
      </w:pPr>
      <w:r>
        <w:t>Employee Benefits</w:t>
      </w:r>
    </w:p>
    <w:p w:rsidR="00F33930" w:rsidRDefault="00F33930" w:rsidP="00F33930">
      <w:pPr>
        <w:pStyle w:val="ListParagraph"/>
        <w:numPr>
          <w:ilvl w:val="1"/>
          <w:numId w:val="19"/>
        </w:numPr>
        <w:spacing w:after="0" w:line="240" w:lineRule="auto"/>
        <w:contextualSpacing w:val="0"/>
      </w:pPr>
      <w:r>
        <w:t>Executive and Incentive Compensation</w:t>
      </w:r>
    </w:p>
    <w:p w:rsidR="00F33930" w:rsidRDefault="00F33930" w:rsidP="00F33930">
      <w:pPr>
        <w:pStyle w:val="ListParagraph"/>
        <w:numPr>
          <w:ilvl w:val="1"/>
          <w:numId w:val="19"/>
        </w:numPr>
        <w:spacing w:after="0" w:line="240" w:lineRule="auto"/>
        <w:contextualSpacing w:val="0"/>
      </w:pPr>
      <w:r>
        <w:t>Flex Benefits and Work Practices</w:t>
      </w:r>
    </w:p>
    <w:p w:rsidR="00F33930" w:rsidRDefault="00F33930" w:rsidP="00F33930">
      <w:pPr>
        <w:pStyle w:val="ListParagraph"/>
        <w:numPr>
          <w:ilvl w:val="1"/>
          <w:numId w:val="19"/>
        </w:numPr>
        <w:spacing w:after="0" w:line="240" w:lineRule="auto"/>
        <w:contextualSpacing w:val="0"/>
      </w:pPr>
      <w:r>
        <w:t>Pre-Retirement Counseling</w:t>
      </w:r>
    </w:p>
    <w:p w:rsidR="00F33930" w:rsidRDefault="00F33930" w:rsidP="00F33930">
      <w:pPr>
        <w:pStyle w:val="ListParagraph"/>
        <w:numPr>
          <w:ilvl w:val="1"/>
          <w:numId w:val="19"/>
        </w:numPr>
        <w:spacing w:after="0" w:line="240" w:lineRule="auto"/>
        <w:contextualSpacing w:val="0"/>
      </w:pPr>
      <w:r>
        <w:t>Legislation</w:t>
      </w:r>
    </w:p>
    <w:p w:rsidR="00F33930" w:rsidRDefault="00F33930" w:rsidP="00F33930">
      <w:pPr>
        <w:pStyle w:val="ListParagraph"/>
        <w:numPr>
          <w:ilvl w:val="1"/>
          <w:numId w:val="19"/>
        </w:numPr>
        <w:spacing w:after="0" w:line="240" w:lineRule="auto"/>
        <w:contextualSpacing w:val="0"/>
      </w:pPr>
      <w:r>
        <w:t>Releases, Bulletins, Policies</w:t>
      </w:r>
    </w:p>
    <w:p w:rsidR="00F33930" w:rsidRDefault="00F33930" w:rsidP="00F33930">
      <w:pPr>
        <w:pStyle w:val="ListParagraph"/>
        <w:numPr>
          <w:ilvl w:val="1"/>
          <w:numId w:val="19"/>
        </w:numPr>
        <w:spacing w:after="0" w:line="240" w:lineRule="auto"/>
        <w:contextualSpacing w:val="0"/>
      </w:pPr>
      <w:r>
        <w:t>Full text of Laws &amp; Regulations for federal and provincial Pension Legislation</w:t>
      </w:r>
    </w:p>
    <w:p w:rsidR="00F33930" w:rsidRDefault="00F33930" w:rsidP="00F33930">
      <w:pPr>
        <w:pStyle w:val="ListParagraph"/>
        <w:numPr>
          <w:ilvl w:val="1"/>
          <w:numId w:val="19"/>
        </w:numPr>
        <w:spacing w:after="0" w:line="240" w:lineRule="auto"/>
        <w:contextualSpacing w:val="0"/>
      </w:pPr>
      <w:r>
        <w:t xml:space="preserve">Pension Appeals Board cases and recent case digests (We are the only publisher that carries PAB cases! Pension Appeal Board sends only to us to publish – cases go back as far as 1960's in the electronic format) </w:t>
      </w:r>
    </w:p>
    <w:p w:rsidR="00F33930" w:rsidRPr="00F33930" w:rsidRDefault="00F33930" w:rsidP="00F33930">
      <w:pPr>
        <w:rPr>
          <w:b/>
          <w:u w:val="single"/>
        </w:rPr>
      </w:pPr>
    </w:p>
    <w:p w:rsidR="00DC103C" w:rsidRPr="00DC103C" w:rsidRDefault="00DC103C" w:rsidP="00DC103C">
      <w:pPr>
        <w:rPr>
          <w:b/>
        </w:rPr>
      </w:pPr>
      <w:r w:rsidRPr="00DC103C">
        <w:rPr>
          <w:b/>
        </w:rPr>
        <w:t>Canadian Employment Safety &amp; Health Guide</w:t>
      </w:r>
    </w:p>
    <w:p w:rsidR="00DC103C" w:rsidRDefault="00DC103C" w:rsidP="00DC103C">
      <w:pPr>
        <w:pStyle w:val="ListParagraph"/>
        <w:numPr>
          <w:ilvl w:val="0"/>
          <w:numId w:val="13"/>
        </w:numPr>
      </w:pPr>
      <w:r>
        <w:t xml:space="preserve">Commentary on new developments and emerging trends in every Canadian jurisdiction and federal, provincial &amp; territorial laws and regulations over a broad range of topics. </w:t>
      </w:r>
    </w:p>
    <w:p w:rsidR="00DC103C" w:rsidRDefault="00DC103C" w:rsidP="00DC103C">
      <w:pPr>
        <w:pStyle w:val="ListParagraph"/>
        <w:numPr>
          <w:ilvl w:val="0"/>
          <w:numId w:val="13"/>
        </w:numPr>
        <w:spacing w:after="0" w:line="240" w:lineRule="auto"/>
        <w:contextualSpacing w:val="0"/>
      </w:pPr>
      <w:r>
        <w:t xml:space="preserve">Covering federal, provincial, and territorial laws and regulations and gives analysis of a broad range of topics (see below). Also delivers commentary on new developments and emerging trends in every Canadian jurisdiction plus summaries of decisions from the courts, Workers' Compensation Tribunals and </w:t>
      </w:r>
      <w:proofErr w:type="spellStart"/>
      <w:r>
        <w:t>Labour</w:t>
      </w:r>
      <w:proofErr w:type="spellEnd"/>
      <w:r>
        <w:t xml:space="preserve"> Relations Boards. In addition, it monitors trends in occupational health and looks at their legal implications.  Topics covered: </w:t>
      </w:r>
    </w:p>
    <w:p w:rsidR="00DC103C" w:rsidRDefault="00DC103C" w:rsidP="00DC103C">
      <w:pPr>
        <w:pStyle w:val="ListParagraph"/>
        <w:numPr>
          <w:ilvl w:val="1"/>
          <w:numId w:val="20"/>
        </w:numPr>
        <w:spacing w:after="0" w:line="240" w:lineRule="auto"/>
        <w:contextualSpacing w:val="0"/>
      </w:pPr>
      <w:r>
        <w:t xml:space="preserve">Employers' duties and rights </w:t>
      </w:r>
    </w:p>
    <w:p w:rsidR="00DC103C" w:rsidRDefault="00DC103C" w:rsidP="00DC103C">
      <w:pPr>
        <w:pStyle w:val="ListParagraph"/>
        <w:numPr>
          <w:ilvl w:val="1"/>
          <w:numId w:val="20"/>
        </w:numPr>
        <w:spacing w:after="0" w:line="240" w:lineRule="auto"/>
        <w:contextualSpacing w:val="0"/>
      </w:pPr>
      <w:r>
        <w:t xml:space="preserve">Workers' duties and rights </w:t>
      </w:r>
    </w:p>
    <w:p w:rsidR="00DC103C" w:rsidRDefault="00DC103C" w:rsidP="00DC103C">
      <w:pPr>
        <w:pStyle w:val="ListParagraph"/>
        <w:numPr>
          <w:ilvl w:val="1"/>
          <w:numId w:val="20"/>
        </w:numPr>
        <w:spacing w:after="0" w:line="240" w:lineRule="auto"/>
        <w:contextualSpacing w:val="0"/>
      </w:pPr>
      <w:r>
        <w:t xml:space="preserve">Occupational health and safety </w:t>
      </w:r>
    </w:p>
    <w:p w:rsidR="00DC103C" w:rsidRDefault="00DC103C" w:rsidP="00DC103C">
      <w:pPr>
        <w:pStyle w:val="ListParagraph"/>
        <w:numPr>
          <w:ilvl w:val="1"/>
          <w:numId w:val="20"/>
        </w:numPr>
        <w:spacing w:after="0" w:line="240" w:lineRule="auto"/>
        <w:contextualSpacing w:val="0"/>
      </w:pPr>
      <w:r>
        <w:t xml:space="preserve">Workers' compensation </w:t>
      </w:r>
    </w:p>
    <w:p w:rsidR="00DC103C" w:rsidRDefault="00DC103C" w:rsidP="00DC103C">
      <w:pPr>
        <w:pStyle w:val="ListParagraph"/>
        <w:numPr>
          <w:ilvl w:val="1"/>
          <w:numId w:val="20"/>
        </w:numPr>
        <w:spacing w:after="0" w:line="240" w:lineRule="auto"/>
        <w:contextualSpacing w:val="0"/>
      </w:pPr>
      <w:r>
        <w:t xml:space="preserve">Toxic substances/physical agents </w:t>
      </w:r>
    </w:p>
    <w:p w:rsidR="00DC103C" w:rsidRDefault="00DC103C" w:rsidP="00DC103C">
      <w:pPr>
        <w:pStyle w:val="ListParagraph"/>
        <w:numPr>
          <w:ilvl w:val="1"/>
          <w:numId w:val="20"/>
        </w:numPr>
        <w:spacing w:after="0" w:line="240" w:lineRule="auto"/>
        <w:contextualSpacing w:val="0"/>
      </w:pPr>
      <w:r>
        <w:t xml:space="preserve">Administration/inspection/enforcement </w:t>
      </w:r>
    </w:p>
    <w:p w:rsidR="00DC103C" w:rsidRDefault="00DC103C" w:rsidP="00DC103C">
      <w:pPr>
        <w:pStyle w:val="ListParagraph"/>
        <w:numPr>
          <w:ilvl w:val="1"/>
          <w:numId w:val="20"/>
        </w:numPr>
        <w:spacing w:after="0" w:line="240" w:lineRule="auto"/>
        <w:contextualSpacing w:val="0"/>
      </w:pPr>
      <w:r>
        <w:t xml:space="preserve">Workplace Hazardous Materials Information System (WHMIS) </w:t>
      </w:r>
    </w:p>
    <w:p w:rsidR="00DC103C" w:rsidRDefault="00DC103C" w:rsidP="00DC103C">
      <w:pPr>
        <w:pStyle w:val="ListParagraph"/>
        <w:numPr>
          <w:ilvl w:val="1"/>
          <w:numId w:val="20"/>
        </w:numPr>
        <w:spacing w:after="0" w:line="240" w:lineRule="auto"/>
        <w:contextualSpacing w:val="0"/>
      </w:pPr>
      <w:r>
        <w:t xml:space="preserve">Health and Safety Committees </w:t>
      </w:r>
    </w:p>
    <w:p w:rsidR="00DC103C" w:rsidRDefault="00DC103C" w:rsidP="00DC103C">
      <w:pPr>
        <w:pStyle w:val="ListParagraph"/>
        <w:numPr>
          <w:ilvl w:val="1"/>
          <w:numId w:val="20"/>
        </w:numPr>
        <w:spacing w:after="0" w:line="240" w:lineRule="auto"/>
        <w:contextualSpacing w:val="0"/>
      </w:pPr>
      <w:r>
        <w:lastRenderedPageBreak/>
        <w:t xml:space="preserve">Benefits: </w:t>
      </w:r>
    </w:p>
    <w:p w:rsidR="00DC103C" w:rsidRDefault="00DC103C" w:rsidP="00DC103C">
      <w:pPr>
        <w:pStyle w:val="ListParagraph"/>
        <w:numPr>
          <w:ilvl w:val="1"/>
          <w:numId w:val="20"/>
        </w:numPr>
        <w:spacing w:after="0" w:line="240" w:lineRule="auto"/>
        <w:contextualSpacing w:val="0"/>
      </w:pPr>
      <w:r>
        <w:t xml:space="preserve">Helps you to comply with the law and assists you in developing plans and strategies for a healthier and safer workplace </w:t>
      </w:r>
    </w:p>
    <w:p w:rsidR="00DC103C" w:rsidRDefault="00DC103C" w:rsidP="00DC103C">
      <w:pPr>
        <w:pStyle w:val="ListParagraph"/>
        <w:numPr>
          <w:ilvl w:val="1"/>
          <w:numId w:val="20"/>
        </w:numPr>
        <w:spacing w:after="0" w:line="240" w:lineRule="auto"/>
        <w:contextualSpacing w:val="0"/>
      </w:pPr>
      <w:r>
        <w:t xml:space="preserve">Covers all aspects of occupational health, safety, wellness, and related legal issues affecting all workplaces </w:t>
      </w:r>
    </w:p>
    <w:p w:rsidR="00DC103C" w:rsidRDefault="00DC103C" w:rsidP="00DC103C">
      <w:pPr>
        <w:pStyle w:val="ListParagraph"/>
        <w:numPr>
          <w:ilvl w:val="1"/>
          <w:numId w:val="20"/>
        </w:numPr>
        <w:spacing w:after="0" w:line="240" w:lineRule="auto"/>
        <w:contextualSpacing w:val="0"/>
      </w:pPr>
      <w:r>
        <w:t xml:space="preserve">Indispensable resource helps you to avoid expensive fines </w:t>
      </w:r>
    </w:p>
    <w:p w:rsidR="00DC103C" w:rsidRDefault="00DC103C" w:rsidP="00DC103C">
      <w:pPr>
        <w:pStyle w:val="ListParagraph"/>
        <w:numPr>
          <w:ilvl w:val="1"/>
          <w:numId w:val="20"/>
        </w:numPr>
        <w:spacing w:after="0" w:line="240" w:lineRule="auto"/>
        <w:contextualSpacing w:val="0"/>
      </w:pPr>
      <w:r>
        <w:t xml:space="preserve">Monitors recent trends and discoveries in the occupational health and safety field and reveals their legal implications and how they affect your business </w:t>
      </w:r>
    </w:p>
    <w:p w:rsidR="00DC103C" w:rsidRDefault="00DC103C" w:rsidP="00DC103C">
      <w:pPr>
        <w:pStyle w:val="ListParagraph"/>
        <w:numPr>
          <w:ilvl w:val="1"/>
          <w:numId w:val="20"/>
        </w:numPr>
        <w:spacing w:after="0" w:line="240" w:lineRule="auto"/>
        <w:contextualSpacing w:val="0"/>
      </w:pPr>
      <w:r>
        <w:t xml:space="preserve">Explains your duties and responsibilities under federal and provincial legislation </w:t>
      </w:r>
    </w:p>
    <w:p w:rsidR="00DC103C" w:rsidRDefault="00DC103C" w:rsidP="00DC103C">
      <w:pPr>
        <w:pStyle w:val="ListParagraph"/>
        <w:numPr>
          <w:ilvl w:val="1"/>
          <w:numId w:val="20"/>
        </w:numPr>
        <w:spacing w:after="0" w:line="240" w:lineRule="auto"/>
        <w:contextualSpacing w:val="0"/>
      </w:pPr>
      <w:r>
        <w:t xml:space="preserve">Includes extensive commentary on every Canadian jurisdiction </w:t>
      </w:r>
    </w:p>
    <w:p w:rsidR="00DC103C" w:rsidRDefault="00DC103C" w:rsidP="00DC103C">
      <w:pPr>
        <w:pStyle w:val="ListParagraph"/>
        <w:numPr>
          <w:ilvl w:val="1"/>
          <w:numId w:val="20"/>
        </w:numPr>
        <w:spacing w:after="0" w:line="240" w:lineRule="auto"/>
        <w:contextualSpacing w:val="0"/>
      </w:pPr>
      <w:r>
        <w:t xml:space="preserve">Provides you with examples of new or potential health and safety hazards </w:t>
      </w:r>
    </w:p>
    <w:p w:rsidR="00DC103C" w:rsidRDefault="00DC103C" w:rsidP="00DC103C">
      <w:pPr>
        <w:pStyle w:val="ListParagraph"/>
        <w:numPr>
          <w:ilvl w:val="1"/>
          <w:numId w:val="20"/>
        </w:numPr>
        <w:spacing w:after="0" w:line="240" w:lineRule="auto"/>
        <w:contextualSpacing w:val="0"/>
      </w:pPr>
      <w:r>
        <w:t xml:space="preserve">Covers your employees' rights to refuse unsafe work </w:t>
      </w:r>
    </w:p>
    <w:p w:rsidR="00DC103C" w:rsidRDefault="00DC103C" w:rsidP="00DC103C">
      <w:pPr>
        <w:pStyle w:val="ListParagraph"/>
        <w:numPr>
          <w:ilvl w:val="1"/>
          <w:numId w:val="20"/>
        </w:numPr>
        <w:spacing w:after="0" w:line="240" w:lineRule="auto"/>
        <w:contextualSpacing w:val="0"/>
      </w:pPr>
      <w:r>
        <w:t xml:space="preserve">Cites relevant case law </w:t>
      </w:r>
    </w:p>
    <w:p w:rsidR="00DC103C" w:rsidRDefault="00DC103C" w:rsidP="00DC103C">
      <w:pPr>
        <w:pStyle w:val="ListParagraph"/>
        <w:numPr>
          <w:ilvl w:val="1"/>
          <w:numId w:val="20"/>
        </w:numPr>
        <w:spacing w:after="0" w:line="240" w:lineRule="auto"/>
        <w:contextualSpacing w:val="0"/>
      </w:pPr>
      <w:r>
        <w:t xml:space="preserve">Reminds you of impending compliance deadlines, as well as new penalties and fines for contravening the law </w:t>
      </w:r>
    </w:p>
    <w:p w:rsidR="00AE0C38" w:rsidRDefault="00AE0C38" w:rsidP="00AE0C38">
      <w:pPr>
        <w:rPr>
          <w:sz w:val="16"/>
        </w:rPr>
      </w:pPr>
    </w:p>
    <w:p w:rsidR="00C11778" w:rsidRPr="00C11778" w:rsidRDefault="00C11778" w:rsidP="00C11778">
      <w:pPr>
        <w:rPr>
          <w:b/>
        </w:rPr>
      </w:pPr>
      <w:r w:rsidRPr="00C11778">
        <w:rPr>
          <w:b/>
        </w:rPr>
        <w:t>Canadian Family Law Guide</w:t>
      </w:r>
    </w:p>
    <w:p w:rsidR="00C11778" w:rsidRDefault="00C11778" w:rsidP="00C11778">
      <w:pPr>
        <w:pStyle w:val="ListParagraph"/>
        <w:numPr>
          <w:ilvl w:val="0"/>
          <w:numId w:val="21"/>
        </w:numPr>
      </w:pPr>
      <w:r>
        <w:t xml:space="preserve">Reproducing full text legislation, providing a complete digest and commentary on relevant and recent cases. </w:t>
      </w:r>
    </w:p>
    <w:p w:rsidR="00C11778" w:rsidRPr="00FF04E5" w:rsidRDefault="00C11778" w:rsidP="00C11778">
      <w:pPr>
        <w:pStyle w:val="ListParagraph"/>
        <w:numPr>
          <w:ilvl w:val="0"/>
          <w:numId w:val="21"/>
        </w:numPr>
        <w:spacing w:after="0" w:line="240" w:lineRule="auto"/>
        <w:contextualSpacing w:val="0"/>
      </w:pPr>
      <w:r>
        <w:t>T</w:t>
      </w:r>
      <w:r w:rsidRPr="00FF04E5">
        <w:t>he Canadian Family Law Guide reproduces the full text of legislation, and provides you with digests of relevant recent cases.</w:t>
      </w:r>
      <w:r>
        <w:t xml:space="preserve"> </w:t>
      </w:r>
      <w:r w:rsidRPr="00FF04E5">
        <w:t>Extensive commentary is provided on issues relating to:</w:t>
      </w:r>
    </w:p>
    <w:p w:rsidR="00C11778" w:rsidRPr="00FF04E5" w:rsidRDefault="00C11778" w:rsidP="00C11778">
      <w:pPr>
        <w:pStyle w:val="ListParagraph"/>
        <w:numPr>
          <w:ilvl w:val="1"/>
          <w:numId w:val="22"/>
        </w:numPr>
        <w:spacing w:after="0" w:line="240" w:lineRule="auto"/>
        <w:contextualSpacing w:val="0"/>
      </w:pPr>
      <w:r w:rsidRPr="00FF04E5">
        <w:t>Marriage and Divorce</w:t>
      </w:r>
    </w:p>
    <w:p w:rsidR="00C11778" w:rsidRPr="00FF04E5" w:rsidRDefault="00C11778" w:rsidP="00C11778">
      <w:pPr>
        <w:pStyle w:val="ListParagraph"/>
        <w:numPr>
          <w:ilvl w:val="1"/>
          <w:numId w:val="22"/>
        </w:numPr>
        <w:spacing w:after="0" w:line="240" w:lineRule="auto"/>
        <w:contextualSpacing w:val="0"/>
      </w:pPr>
      <w:r w:rsidRPr="00FF04E5">
        <w:t>Spousal and Child Support</w:t>
      </w:r>
    </w:p>
    <w:p w:rsidR="00C11778" w:rsidRPr="00FF04E5" w:rsidRDefault="00C11778" w:rsidP="00C11778">
      <w:pPr>
        <w:pStyle w:val="ListParagraph"/>
        <w:numPr>
          <w:ilvl w:val="1"/>
          <w:numId w:val="22"/>
        </w:numPr>
        <w:spacing w:after="0" w:line="240" w:lineRule="auto"/>
        <w:contextualSpacing w:val="0"/>
      </w:pPr>
      <w:r w:rsidRPr="00FF04E5">
        <w:t>Family mediation and collaborative practice</w:t>
      </w:r>
    </w:p>
    <w:p w:rsidR="00C11778" w:rsidRDefault="00C11778" w:rsidP="00AE0C38">
      <w:pPr>
        <w:pStyle w:val="ListParagraph"/>
        <w:numPr>
          <w:ilvl w:val="1"/>
          <w:numId w:val="22"/>
        </w:numPr>
        <w:spacing w:after="0" w:line="240" w:lineRule="auto"/>
        <w:contextualSpacing w:val="0"/>
      </w:pPr>
      <w:r w:rsidRPr="00FF04E5">
        <w:t>Property</w:t>
      </w:r>
    </w:p>
    <w:p w:rsidR="00C11778" w:rsidRPr="00C11778" w:rsidRDefault="00C11778" w:rsidP="00C11778">
      <w:pPr>
        <w:pStyle w:val="ListParagraph"/>
        <w:spacing w:after="0" w:line="240" w:lineRule="auto"/>
        <w:ind w:left="1440"/>
        <w:contextualSpacing w:val="0"/>
      </w:pPr>
    </w:p>
    <w:p w:rsidR="00C11778" w:rsidRPr="00C11778" w:rsidRDefault="00C11778" w:rsidP="00C11778">
      <w:pPr>
        <w:rPr>
          <w:b/>
        </w:rPr>
      </w:pPr>
      <w:r w:rsidRPr="00C11778">
        <w:rPr>
          <w:b/>
        </w:rPr>
        <w:t>Canadian Estate Administration Guide</w:t>
      </w:r>
    </w:p>
    <w:p w:rsidR="00C11778" w:rsidRDefault="00C11778" w:rsidP="00C11778">
      <w:pPr>
        <w:pStyle w:val="ListParagraph"/>
        <w:numPr>
          <w:ilvl w:val="0"/>
          <w:numId w:val="21"/>
        </w:numPr>
      </w:pPr>
      <w:r>
        <w:t>The only estate administration resource available in Canada with multi-jurisdictional coverage, supporting your practice with relevant and indexed commentary, legislation, key forms, and precedents.</w:t>
      </w:r>
    </w:p>
    <w:p w:rsidR="00C11778" w:rsidRPr="00FF04E5" w:rsidRDefault="00C11778" w:rsidP="00C11778">
      <w:pPr>
        <w:pStyle w:val="ListParagraph"/>
        <w:numPr>
          <w:ilvl w:val="0"/>
          <w:numId w:val="21"/>
        </w:numPr>
        <w:spacing w:after="0" w:line="240" w:lineRule="auto"/>
        <w:contextualSpacing w:val="0"/>
      </w:pPr>
      <w:r>
        <w:t>Co</w:t>
      </w:r>
      <w:r w:rsidRPr="00FF04E5">
        <w:t>mbin</w:t>
      </w:r>
      <w:r>
        <w:t>ing</w:t>
      </w:r>
      <w:r w:rsidRPr="00FF04E5">
        <w:t xml:space="preserve"> both the Canadian Estate Administration Guide and the Canadian Estate Planning Guide, making it the ultimate resource for estate planning and administration professionals. Authored by leading experts in the industry, you won’t find a more authoritative source for information and advice on tax and estate planning.</w:t>
      </w:r>
      <w:r>
        <w:t xml:space="preserve"> </w:t>
      </w:r>
      <w:r w:rsidRPr="00FF04E5">
        <w:t>Coverage includes:</w:t>
      </w:r>
    </w:p>
    <w:p w:rsidR="00C11778" w:rsidRPr="00FF04E5" w:rsidRDefault="00C11778" w:rsidP="00C11778">
      <w:pPr>
        <w:pStyle w:val="ListParagraph"/>
        <w:numPr>
          <w:ilvl w:val="1"/>
          <w:numId w:val="23"/>
        </w:numPr>
        <w:spacing w:after="0" w:line="240" w:lineRule="auto"/>
        <w:contextualSpacing w:val="0"/>
      </w:pPr>
      <w:r w:rsidRPr="00FF04E5">
        <w:t>Estate Freezes</w:t>
      </w:r>
    </w:p>
    <w:p w:rsidR="00C11778" w:rsidRPr="00FF04E5" w:rsidRDefault="00C11778" w:rsidP="00C11778">
      <w:pPr>
        <w:pStyle w:val="ListParagraph"/>
        <w:numPr>
          <w:ilvl w:val="1"/>
          <w:numId w:val="23"/>
        </w:numPr>
        <w:spacing w:after="0" w:line="240" w:lineRule="auto"/>
        <w:contextualSpacing w:val="0"/>
      </w:pPr>
      <w:r w:rsidRPr="00FF04E5">
        <w:t>Protection from Creditors</w:t>
      </w:r>
    </w:p>
    <w:p w:rsidR="00C11778" w:rsidRPr="00FF04E5" w:rsidRDefault="00C11778" w:rsidP="00C11778">
      <w:pPr>
        <w:pStyle w:val="ListParagraph"/>
        <w:numPr>
          <w:ilvl w:val="1"/>
          <w:numId w:val="23"/>
        </w:numPr>
        <w:spacing w:after="0" w:line="240" w:lineRule="auto"/>
        <w:contextualSpacing w:val="0"/>
      </w:pPr>
      <w:r w:rsidRPr="00FF04E5">
        <w:t>The Pros &amp; Cons of Alter Ego and Joint Partner Trusts</w:t>
      </w:r>
    </w:p>
    <w:p w:rsidR="00C11778" w:rsidRPr="00FF04E5" w:rsidRDefault="00C11778" w:rsidP="00C11778">
      <w:pPr>
        <w:pStyle w:val="ListParagraph"/>
        <w:numPr>
          <w:ilvl w:val="1"/>
          <w:numId w:val="23"/>
        </w:numPr>
        <w:spacing w:after="0" w:line="240" w:lineRule="auto"/>
        <w:contextualSpacing w:val="0"/>
      </w:pPr>
      <w:r w:rsidRPr="00FF04E5">
        <w:t>Spousal Trusts</w:t>
      </w:r>
    </w:p>
    <w:p w:rsidR="00C11778" w:rsidRPr="00FF04E5" w:rsidRDefault="00C11778" w:rsidP="00C11778">
      <w:pPr>
        <w:pStyle w:val="ListParagraph"/>
        <w:numPr>
          <w:ilvl w:val="1"/>
          <w:numId w:val="23"/>
        </w:numPr>
        <w:spacing w:after="0" w:line="240" w:lineRule="auto"/>
        <w:contextualSpacing w:val="0"/>
      </w:pPr>
      <w:r w:rsidRPr="00FF04E5">
        <w:t>Tax-Planning the Will</w:t>
      </w:r>
    </w:p>
    <w:p w:rsidR="00C11778" w:rsidRPr="00FF04E5" w:rsidRDefault="00C11778" w:rsidP="00C11778">
      <w:pPr>
        <w:pStyle w:val="ListParagraph"/>
        <w:numPr>
          <w:ilvl w:val="1"/>
          <w:numId w:val="23"/>
        </w:numPr>
        <w:spacing w:after="0" w:line="240" w:lineRule="auto"/>
        <w:contextualSpacing w:val="0"/>
      </w:pPr>
      <w:r w:rsidRPr="00FF04E5">
        <w:t>Life Insurance and Registered Plan Designations</w:t>
      </w:r>
    </w:p>
    <w:p w:rsidR="00C11778" w:rsidRPr="00FF04E5" w:rsidRDefault="00C11778" w:rsidP="00C11778">
      <w:pPr>
        <w:pStyle w:val="ListParagraph"/>
        <w:numPr>
          <w:ilvl w:val="1"/>
          <w:numId w:val="23"/>
        </w:numPr>
        <w:spacing w:after="0" w:line="240" w:lineRule="auto"/>
        <w:contextualSpacing w:val="0"/>
      </w:pPr>
      <w:r w:rsidRPr="00FF04E5">
        <w:t>Post-Mortem Tax Planning</w:t>
      </w:r>
    </w:p>
    <w:p w:rsidR="00C11778" w:rsidRDefault="00C11778" w:rsidP="00C11778">
      <w:pPr>
        <w:pStyle w:val="ListParagraph"/>
        <w:numPr>
          <w:ilvl w:val="1"/>
          <w:numId w:val="23"/>
        </w:numPr>
        <w:spacing w:after="0" w:line="240" w:lineRule="auto"/>
        <w:contextualSpacing w:val="0"/>
      </w:pPr>
      <w:r w:rsidRPr="00FF04E5">
        <w:t>Strategies for Holding Real Property in the United States</w:t>
      </w:r>
    </w:p>
    <w:p w:rsidR="00C11778" w:rsidRDefault="00C11778" w:rsidP="00C11778">
      <w:pPr>
        <w:spacing w:after="0" w:line="240" w:lineRule="auto"/>
        <w:ind w:left="1800"/>
      </w:pPr>
    </w:p>
    <w:p w:rsidR="00761EB3" w:rsidRDefault="00761EB3" w:rsidP="00AE0C38">
      <w:pPr>
        <w:rPr>
          <w:sz w:val="16"/>
        </w:rPr>
      </w:pPr>
    </w:p>
    <w:p w:rsidR="00761EB3" w:rsidRDefault="00761EB3" w:rsidP="00761EB3">
      <w:pPr>
        <w:rPr>
          <w:b/>
        </w:rPr>
      </w:pPr>
      <w:r w:rsidRPr="00761EB3">
        <w:rPr>
          <w:b/>
        </w:rPr>
        <w:lastRenderedPageBreak/>
        <w:t xml:space="preserve">Canadian Insurance Law Reporter </w:t>
      </w:r>
    </w:p>
    <w:p w:rsidR="00761EB3" w:rsidRPr="00FF04E5" w:rsidRDefault="00761EB3" w:rsidP="00761EB3">
      <w:r>
        <w:t>Providing</w:t>
      </w:r>
      <w:r w:rsidRPr="00FF04E5">
        <w:t xml:space="preserve"> you with full-text decisions from provincial and federal courts on key insurance contracts, including life, health, accident, fire, casualty, and automobile.</w:t>
      </w:r>
      <w:r>
        <w:t xml:space="preserve"> </w:t>
      </w:r>
      <w:r w:rsidRPr="00FF04E5">
        <w:t>Its comprehensive coverage includes:</w:t>
      </w:r>
    </w:p>
    <w:p w:rsidR="00761EB3" w:rsidRPr="00FF04E5" w:rsidRDefault="00761EB3" w:rsidP="00761EB3">
      <w:pPr>
        <w:pStyle w:val="ListParagraph"/>
        <w:numPr>
          <w:ilvl w:val="1"/>
          <w:numId w:val="26"/>
        </w:numPr>
        <w:spacing w:after="0" w:line="240" w:lineRule="auto"/>
        <w:contextualSpacing w:val="0"/>
      </w:pPr>
      <w:r w:rsidRPr="00FF04E5">
        <w:t>Quantum of Damages Table</w:t>
      </w:r>
    </w:p>
    <w:p w:rsidR="00761EB3" w:rsidRPr="00FF04E5" w:rsidRDefault="00761EB3" w:rsidP="00761EB3">
      <w:pPr>
        <w:pStyle w:val="ListParagraph"/>
        <w:numPr>
          <w:ilvl w:val="1"/>
          <w:numId w:val="26"/>
        </w:numPr>
        <w:spacing w:after="0" w:line="240" w:lineRule="auto"/>
        <w:contextualSpacing w:val="0"/>
      </w:pPr>
      <w:r w:rsidRPr="00FF04E5">
        <w:t>Case Table</w:t>
      </w:r>
    </w:p>
    <w:p w:rsidR="00761EB3" w:rsidRPr="00FF04E5" w:rsidRDefault="00761EB3" w:rsidP="00761EB3">
      <w:pPr>
        <w:pStyle w:val="ListParagraph"/>
        <w:numPr>
          <w:ilvl w:val="1"/>
          <w:numId w:val="26"/>
        </w:numPr>
        <w:spacing w:after="0" w:line="240" w:lineRule="auto"/>
        <w:contextualSpacing w:val="0"/>
      </w:pPr>
      <w:r w:rsidRPr="00FF04E5">
        <w:t>Insurance Cases (full text)</w:t>
      </w:r>
    </w:p>
    <w:p w:rsidR="00761EB3" w:rsidRPr="00FF04E5" w:rsidRDefault="00761EB3" w:rsidP="00761EB3">
      <w:pPr>
        <w:pStyle w:val="ListParagraph"/>
        <w:numPr>
          <w:ilvl w:val="1"/>
          <w:numId w:val="26"/>
        </w:numPr>
        <w:spacing w:after="0" w:line="240" w:lineRule="auto"/>
        <w:contextualSpacing w:val="0"/>
      </w:pPr>
      <w:r w:rsidRPr="00FF04E5">
        <w:t>Torts, Motor Vehicles (digests)</w:t>
      </w:r>
    </w:p>
    <w:p w:rsidR="00761EB3" w:rsidRPr="00FF04E5" w:rsidRDefault="00761EB3" w:rsidP="00761EB3">
      <w:pPr>
        <w:pStyle w:val="ListParagraph"/>
        <w:numPr>
          <w:ilvl w:val="1"/>
          <w:numId w:val="26"/>
        </w:numPr>
        <w:spacing w:after="0" w:line="240" w:lineRule="auto"/>
        <w:contextualSpacing w:val="0"/>
      </w:pPr>
      <w:r w:rsidRPr="00FF04E5">
        <w:t>Torts, General (digests)</w:t>
      </w:r>
    </w:p>
    <w:p w:rsidR="00761EB3" w:rsidRPr="00FF04E5" w:rsidRDefault="00761EB3" w:rsidP="00761EB3">
      <w:pPr>
        <w:pStyle w:val="ListParagraph"/>
        <w:numPr>
          <w:ilvl w:val="1"/>
          <w:numId w:val="26"/>
        </w:numPr>
        <w:spacing w:after="0" w:line="240" w:lineRule="auto"/>
        <w:contextualSpacing w:val="0"/>
      </w:pPr>
      <w:r w:rsidRPr="00FF04E5">
        <w:t xml:space="preserve">Code </w:t>
      </w:r>
      <w:proofErr w:type="spellStart"/>
      <w:r w:rsidRPr="00FF04E5">
        <w:t>Citators</w:t>
      </w:r>
      <w:proofErr w:type="spellEnd"/>
    </w:p>
    <w:p w:rsidR="00761EB3" w:rsidRDefault="00761EB3" w:rsidP="00761EB3">
      <w:pPr>
        <w:pStyle w:val="ListParagraph"/>
        <w:numPr>
          <w:ilvl w:val="1"/>
          <w:numId w:val="26"/>
        </w:numPr>
        <w:spacing w:after="0" w:line="240" w:lineRule="auto"/>
        <w:contextualSpacing w:val="0"/>
      </w:pPr>
      <w:r w:rsidRPr="00FF04E5">
        <w:t>Topical Index</w:t>
      </w:r>
    </w:p>
    <w:p w:rsidR="00761EB3" w:rsidRDefault="00761EB3" w:rsidP="00761EB3">
      <w:pPr>
        <w:pStyle w:val="ListParagraph"/>
        <w:numPr>
          <w:ilvl w:val="1"/>
          <w:numId w:val="26"/>
        </w:numPr>
        <w:spacing w:after="0" w:line="240" w:lineRule="auto"/>
        <w:contextualSpacing w:val="0"/>
      </w:pPr>
      <w:r>
        <w:t>A</w:t>
      </w:r>
      <w:r w:rsidRPr="00CA0A33">
        <w:t>n archive of insurance cases dating back to 1937</w:t>
      </w:r>
    </w:p>
    <w:p w:rsidR="00761EB3" w:rsidRDefault="00761EB3" w:rsidP="00761EB3">
      <w:pPr>
        <w:spacing w:after="0" w:line="240" w:lineRule="auto"/>
        <w:ind w:left="1800"/>
      </w:pPr>
    </w:p>
    <w:p w:rsidR="00761EB3" w:rsidRDefault="00761EB3" w:rsidP="00761EB3">
      <w:pPr>
        <w:spacing w:after="0" w:line="240" w:lineRule="auto"/>
        <w:rPr>
          <w:b/>
        </w:rPr>
      </w:pPr>
      <w:r w:rsidRPr="00761EB3">
        <w:rPr>
          <w:b/>
        </w:rPr>
        <w:t>Ontario Accident Benefit Case Summaries</w:t>
      </w:r>
    </w:p>
    <w:p w:rsidR="00761EB3" w:rsidRPr="00761EB3" w:rsidRDefault="00761EB3" w:rsidP="00761EB3">
      <w:pPr>
        <w:spacing w:after="0" w:line="240" w:lineRule="auto"/>
        <w:rPr>
          <w:b/>
        </w:rPr>
      </w:pPr>
    </w:p>
    <w:p w:rsidR="00761EB3" w:rsidRPr="00CE7768" w:rsidRDefault="00761EB3" w:rsidP="00761EB3">
      <w:pPr>
        <w:pStyle w:val="ListParagraph"/>
        <w:numPr>
          <w:ilvl w:val="0"/>
          <w:numId w:val="24"/>
        </w:numPr>
        <w:spacing w:after="0" w:line="240" w:lineRule="auto"/>
      </w:pPr>
      <w:r w:rsidRPr="00CE7768">
        <w:t>The Ontario Accident Benefit Case Summaries gives you concise summaries of every relevant decision from the Financial Services Commission of Ontario, private arbitration, and the courts. It includes extensive Finding Lists and a detailed Topical Index so you can locate information quickly. You can also access archived case summaries dating back to 1991 in the online version.</w:t>
      </w:r>
      <w:r>
        <w:t xml:space="preserve"> </w:t>
      </w:r>
      <w:r w:rsidRPr="00CE7768">
        <w:t>Information is divided under the following headings:</w:t>
      </w:r>
    </w:p>
    <w:p w:rsidR="00761EB3" w:rsidRPr="00CE7768" w:rsidRDefault="00761EB3" w:rsidP="00761EB3">
      <w:pPr>
        <w:pStyle w:val="ListParagraph"/>
        <w:numPr>
          <w:ilvl w:val="1"/>
          <w:numId w:val="25"/>
        </w:numPr>
        <w:spacing w:after="0" w:line="240" w:lineRule="auto"/>
      </w:pPr>
      <w:r w:rsidRPr="00CE7768">
        <w:t>Appeals</w:t>
      </w:r>
    </w:p>
    <w:p w:rsidR="00761EB3" w:rsidRPr="00CE7768" w:rsidRDefault="00761EB3" w:rsidP="00761EB3">
      <w:pPr>
        <w:pStyle w:val="ListParagraph"/>
        <w:numPr>
          <w:ilvl w:val="1"/>
          <w:numId w:val="25"/>
        </w:numPr>
        <w:spacing w:after="0" w:line="240" w:lineRule="auto"/>
      </w:pPr>
      <w:r w:rsidRPr="00CE7768">
        <w:t>Case Summaries</w:t>
      </w:r>
    </w:p>
    <w:p w:rsidR="00761EB3" w:rsidRPr="00CE7768" w:rsidRDefault="00761EB3" w:rsidP="00761EB3">
      <w:pPr>
        <w:pStyle w:val="ListParagraph"/>
        <w:numPr>
          <w:ilvl w:val="1"/>
          <w:numId w:val="25"/>
        </w:numPr>
        <w:spacing w:after="0" w:line="240" w:lineRule="auto"/>
      </w:pPr>
      <w:r w:rsidRPr="00CE7768">
        <w:t>Legislation</w:t>
      </w:r>
    </w:p>
    <w:p w:rsidR="00761EB3" w:rsidRPr="00CE7768" w:rsidRDefault="00761EB3" w:rsidP="00761EB3">
      <w:pPr>
        <w:pStyle w:val="ListParagraph"/>
        <w:numPr>
          <w:ilvl w:val="1"/>
          <w:numId w:val="25"/>
        </w:numPr>
        <w:spacing w:after="0" w:line="240" w:lineRule="auto"/>
      </w:pPr>
      <w:r w:rsidRPr="00CE7768">
        <w:t>Expanded Topical Index</w:t>
      </w:r>
    </w:p>
    <w:p w:rsidR="00761EB3" w:rsidRPr="00CE7768" w:rsidRDefault="00761EB3" w:rsidP="00761EB3">
      <w:pPr>
        <w:pStyle w:val="ListParagraph"/>
        <w:numPr>
          <w:ilvl w:val="1"/>
          <w:numId w:val="25"/>
        </w:numPr>
        <w:spacing w:after="0" w:line="240" w:lineRule="auto"/>
        <w:contextualSpacing w:val="0"/>
      </w:pPr>
      <w:r w:rsidRPr="00CE7768">
        <w:t>Case Tables</w:t>
      </w:r>
    </w:p>
    <w:p w:rsidR="00761EB3" w:rsidRPr="00761EB3" w:rsidRDefault="00761EB3" w:rsidP="00AE0C38"/>
    <w:p w:rsidR="00761EB3" w:rsidRPr="00761EB3" w:rsidRDefault="00761EB3" w:rsidP="00761EB3">
      <w:pPr>
        <w:pStyle w:val="Heading2"/>
        <w:numPr>
          <w:ilvl w:val="0"/>
          <w:numId w:val="0"/>
        </w:numPr>
        <w:ind w:left="576" w:hanging="576"/>
        <w:rPr>
          <w:rFonts w:asciiTheme="minorHAnsi" w:hAnsiTheme="minorHAnsi" w:cstheme="minorHAnsi"/>
          <w:color w:val="000000" w:themeColor="text1"/>
          <w:sz w:val="22"/>
          <w:szCs w:val="22"/>
        </w:rPr>
      </w:pPr>
      <w:r w:rsidRPr="00761EB3">
        <w:rPr>
          <w:rFonts w:asciiTheme="minorHAnsi" w:hAnsiTheme="minorHAnsi" w:cstheme="minorHAnsi"/>
          <w:color w:val="000000" w:themeColor="text1"/>
          <w:sz w:val="22"/>
          <w:szCs w:val="22"/>
        </w:rPr>
        <w:t>Ontario Real Estate Guide</w:t>
      </w:r>
    </w:p>
    <w:p w:rsidR="00761EB3" w:rsidRDefault="00761EB3" w:rsidP="00761EB3">
      <w:pPr>
        <w:pStyle w:val="NoSpacing"/>
      </w:pPr>
    </w:p>
    <w:p w:rsidR="00761EB3" w:rsidRDefault="00761EB3" w:rsidP="00761EB3">
      <w:pPr>
        <w:pStyle w:val="NoSpacing"/>
      </w:pPr>
      <w:r>
        <w:t>The definitive guide and information for the Ontario Real Estate Practitioner, this guide provides coverage of topics related to real estate transactions in Ontario. It provides text of all relevant Acts and regulations, as well as related forms and precedents, and checklists of procedures.</w:t>
      </w:r>
    </w:p>
    <w:p w:rsidR="00761EB3" w:rsidRDefault="00761EB3" w:rsidP="00761EB3">
      <w:pPr>
        <w:pStyle w:val="NoSpacing"/>
      </w:pPr>
    </w:p>
    <w:p w:rsidR="00761EB3" w:rsidRDefault="00761EB3" w:rsidP="00761EB3">
      <w:pPr>
        <w:pStyle w:val="NoSpacing"/>
      </w:pPr>
      <w:r>
        <w:t>Included are comprehensive, interactive Smart Charts on the following topics:</w:t>
      </w:r>
    </w:p>
    <w:p w:rsidR="00761EB3" w:rsidRDefault="00761EB3" w:rsidP="00761EB3">
      <w:pPr>
        <w:pStyle w:val="NoSpacing"/>
      </w:pPr>
    </w:p>
    <w:p w:rsidR="00761EB3" w:rsidRDefault="00761EB3" w:rsidP="00761EB3">
      <w:pPr>
        <w:pStyle w:val="NoSpacing"/>
        <w:numPr>
          <w:ilvl w:val="0"/>
          <w:numId w:val="28"/>
        </w:numPr>
      </w:pPr>
      <w:r>
        <w:t>Residential/Commercial Owners Title Insurance Policy Comparison</w:t>
      </w:r>
    </w:p>
    <w:p w:rsidR="00761EB3" w:rsidRDefault="00761EB3" w:rsidP="00761EB3">
      <w:pPr>
        <w:pStyle w:val="NoSpacing"/>
        <w:numPr>
          <w:ilvl w:val="0"/>
          <w:numId w:val="28"/>
        </w:numPr>
      </w:pPr>
      <w:r>
        <w:t>Residential/Commercial Loan Title Insurance Policy Comparison</w:t>
      </w:r>
    </w:p>
    <w:p w:rsidR="00761EB3" w:rsidRDefault="00761EB3" w:rsidP="00761EB3">
      <w:pPr>
        <w:pStyle w:val="NoSpacing"/>
        <w:numPr>
          <w:ilvl w:val="0"/>
          <w:numId w:val="28"/>
        </w:numPr>
      </w:pPr>
      <w:r>
        <w:t>Mortgage Remedies</w:t>
      </w:r>
    </w:p>
    <w:p w:rsidR="00761EB3" w:rsidRDefault="00761EB3" w:rsidP="00761EB3">
      <w:pPr>
        <w:pStyle w:val="NoSpacing"/>
        <w:numPr>
          <w:ilvl w:val="0"/>
          <w:numId w:val="28"/>
        </w:numPr>
      </w:pPr>
      <w:r>
        <w:t xml:space="preserve">Eviction Notice Periods </w:t>
      </w:r>
    </w:p>
    <w:p w:rsidR="00761EB3" w:rsidRDefault="00761EB3" w:rsidP="00761EB3">
      <w:pPr>
        <w:pStyle w:val="NoSpacing"/>
      </w:pPr>
    </w:p>
    <w:p w:rsidR="00761EB3" w:rsidRDefault="00761EB3" w:rsidP="00761EB3">
      <w:pPr>
        <w:pStyle w:val="NoSpacing"/>
      </w:pPr>
      <w:r>
        <w:t>Also included are summaries of recent cases, as well as relevant and practical editorial commentary on the following topics:</w:t>
      </w:r>
    </w:p>
    <w:p w:rsidR="00761EB3" w:rsidRDefault="00761EB3" w:rsidP="00761EB3">
      <w:pPr>
        <w:pStyle w:val="NoSpacing"/>
      </w:pPr>
    </w:p>
    <w:p w:rsidR="00761EB3" w:rsidRDefault="00761EB3" w:rsidP="00761EB3">
      <w:pPr>
        <w:pStyle w:val="NoSpacing"/>
        <w:numPr>
          <w:ilvl w:val="0"/>
          <w:numId w:val="29"/>
        </w:numPr>
      </w:pPr>
      <w:r>
        <w:t>Professional Duties and Liabilities</w:t>
      </w:r>
    </w:p>
    <w:p w:rsidR="00761EB3" w:rsidRDefault="00761EB3" w:rsidP="00761EB3">
      <w:pPr>
        <w:pStyle w:val="NoSpacing"/>
        <w:numPr>
          <w:ilvl w:val="0"/>
          <w:numId w:val="29"/>
        </w:numPr>
      </w:pPr>
      <w:r>
        <w:t>Purchase and Sale Agreements</w:t>
      </w:r>
    </w:p>
    <w:p w:rsidR="00761EB3" w:rsidRDefault="00761EB3" w:rsidP="00761EB3">
      <w:pPr>
        <w:pStyle w:val="NoSpacing"/>
        <w:numPr>
          <w:ilvl w:val="0"/>
          <w:numId w:val="29"/>
        </w:numPr>
      </w:pPr>
      <w:r>
        <w:t>Document Registration Guide</w:t>
      </w:r>
    </w:p>
    <w:p w:rsidR="00761EB3" w:rsidRDefault="00761EB3" w:rsidP="00761EB3">
      <w:pPr>
        <w:pStyle w:val="NoSpacing"/>
        <w:numPr>
          <w:ilvl w:val="0"/>
          <w:numId w:val="29"/>
        </w:numPr>
      </w:pPr>
      <w:r>
        <w:lastRenderedPageBreak/>
        <w:t>Taxes</w:t>
      </w:r>
    </w:p>
    <w:p w:rsidR="00761EB3" w:rsidRDefault="00761EB3" w:rsidP="00761EB3">
      <w:pPr>
        <w:pStyle w:val="NoSpacing"/>
        <w:numPr>
          <w:ilvl w:val="0"/>
          <w:numId w:val="29"/>
        </w:numPr>
      </w:pPr>
      <w:r>
        <w:t>Mortgages</w:t>
      </w:r>
    </w:p>
    <w:p w:rsidR="00761EB3" w:rsidRDefault="00761EB3" w:rsidP="00761EB3">
      <w:pPr>
        <w:pStyle w:val="NoSpacing"/>
        <w:numPr>
          <w:ilvl w:val="0"/>
          <w:numId w:val="29"/>
        </w:numPr>
      </w:pPr>
      <w:r>
        <w:t>Title Conveyancing</w:t>
      </w:r>
    </w:p>
    <w:p w:rsidR="00761EB3" w:rsidRDefault="00761EB3" w:rsidP="00761EB3">
      <w:pPr>
        <w:pStyle w:val="NoSpacing"/>
        <w:numPr>
          <w:ilvl w:val="0"/>
          <w:numId w:val="29"/>
        </w:numPr>
      </w:pPr>
      <w:r>
        <w:t>Condominiums</w:t>
      </w:r>
    </w:p>
    <w:p w:rsidR="00761EB3" w:rsidRDefault="00761EB3" w:rsidP="00761EB3">
      <w:pPr>
        <w:pStyle w:val="NoSpacing"/>
        <w:numPr>
          <w:ilvl w:val="0"/>
          <w:numId w:val="29"/>
        </w:numPr>
      </w:pPr>
      <w:r>
        <w:t>Remedies</w:t>
      </w:r>
    </w:p>
    <w:p w:rsidR="00761EB3" w:rsidRDefault="00761EB3" w:rsidP="00761EB3">
      <w:pPr>
        <w:pStyle w:val="NoSpacing"/>
      </w:pPr>
    </w:p>
    <w:p w:rsidR="00761EB3" w:rsidRPr="00761EB3" w:rsidRDefault="00761EB3" w:rsidP="00761EB3">
      <w:pPr>
        <w:pStyle w:val="Heading2"/>
        <w:numPr>
          <w:ilvl w:val="0"/>
          <w:numId w:val="0"/>
        </w:numPr>
        <w:ind w:left="576" w:hanging="576"/>
        <w:rPr>
          <w:color w:val="000000" w:themeColor="text1"/>
          <w:sz w:val="22"/>
        </w:rPr>
      </w:pPr>
      <w:r w:rsidRPr="00761EB3">
        <w:rPr>
          <w:color w:val="000000" w:themeColor="text1"/>
          <w:sz w:val="22"/>
        </w:rPr>
        <w:t>British Columbia Real Estate Guide</w:t>
      </w:r>
    </w:p>
    <w:p w:rsidR="00761EB3" w:rsidRDefault="00761EB3" w:rsidP="00761EB3">
      <w:pPr>
        <w:pStyle w:val="NoSpacing"/>
      </w:pPr>
    </w:p>
    <w:p w:rsidR="00761EB3" w:rsidRDefault="00761EB3" w:rsidP="00761EB3">
      <w:pPr>
        <w:pStyle w:val="NoSpacing"/>
      </w:pPr>
      <w:r>
        <w:t>If you practice real estate law in British Columbia, this guide will ensure that you are up-to-date. The British Columbia Real Estate Law Guide gives you comprehensive coverage of topics related to real estate and includes all relevant statutes and regulations plus summaries of recent cases.</w:t>
      </w:r>
    </w:p>
    <w:p w:rsidR="00761EB3" w:rsidRDefault="00761EB3" w:rsidP="00761EB3">
      <w:pPr>
        <w:pStyle w:val="NoSpacing"/>
      </w:pPr>
    </w:p>
    <w:p w:rsidR="00761EB3" w:rsidRDefault="00761EB3" w:rsidP="00761EB3">
      <w:pPr>
        <w:pStyle w:val="NoSpacing"/>
      </w:pPr>
      <w:r>
        <w:t>Get up to speed with numerous precedents and forms in various areas. It also includes comprehensive, interactive Smart Charts on Residential Loan and Owners Title Insurance Policy Comparisons.</w:t>
      </w:r>
    </w:p>
    <w:p w:rsidR="00761EB3" w:rsidRDefault="00761EB3" w:rsidP="00761EB3">
      <w:pPr>
        <w:pStyle w:val="NoSpacing"/>
      </w:pPr>
    </w:p>
    <w:p w:rsidR="00761EB3" w:rsidRDefault="00761EB3" w:rsidP="00761EB3">
      <w:pPr>
        <w:pStyle w:val="NoSpacing"/>
      </w:pPr>
      <w:r>
        <w:t>Also receive and practical commentary on the following topics:</w:t>
      </w:r>
    </w:p>
    <w:p w:rsidR="00761EB3" w:rsidRDefault="00761EB3" w:rsidP="00761EB3">
      <w:pPr>
        <w:pStyle w:val="NoSpacing"/>
      </w:pPr>
    </w:p>
    <w:p w:rsidR="00761EB3" w:rsidRDefault="00761EB3" w:rsidP="00761EB3">
      <w:pPr>
        <w:pStyle w:val="NoSpacing"/>
        <w:numPr>
          <w:ilvl w:val="0"/>
          <w:numId w:val="30"/>
        </w:numPr>
      </w:pPr>
      <w:r>
        <w:t>Professional Duties and Responsibilities</w:t>
      </w:r>
    </w:p>
    <w:p w:rsidR="00761EB3" w:rsidRDefault="00761EB3" w:rsidP="00761EB3">
      <w:pPr>
        <w:pStyle w:val="NoSpacing"/>
        <w:numPr>
          <w:ilvl w:val="0"/>
          <w:numId w:val="30"/>
        </w:numPr>
      </w:pPr>
      <w:r>
        <w:t>Purchase and Sale Agreements</w:t>
      </w:r>
    </w:p>
    <w:p w:rsidR="00761EB3" w:rsidRDefault="00761EB3" w:rsidP="00761EB3">
      <w:pPr>
        <w:pStyle w:val="NoSpacing"/>
        <w:numPr>
          <w:ilvl w:val="0"/>
          <w:numId w:val="30"/>
        </w:numPr>
      </w:pPr>
      <w:r>
        <w:t>Mortgages</w:t>
      </w:r>
    </w:p>
    <w:p w:rsidR="00761EB3" w:rsidRDefault="00761EB3" w:rsidP="00761EB3">
      <w:pPr>
        <w:pStyle w:val="NoSpacing"/>
        <w:numPr>
          <w:ilvl w:val="0"/>
          <w:numId w:val="30"/>
        </w:numPr>
      </w:pPr>
      <w:r>
        <w:t>Land Title Registration</w:t>
      </w:r>
    </w:p>
    <w:p w:rsidR="00761EB3" w:rsidRDefault="00761EB3" w:rsidP="00761EB3">
      <w:pPr>
        <w:pStyle w:val="NoSpacing"/>
        <w:numPr>
          <w:ilvl w:val="0"/>
          <w:numId w:val="30"/>
        </w:numPr>
      </w:pPr>
      <w:r>
        <w:t>Remedies (Purchase/Sale and Mortgage Default)</w:t>
      </w:r>
    </w:p>
    <w:p w:rsidR="00761EB3" w:rsidRDefault="00761EB3" w:rsidP="00761EB3">
      <w:pPr>
        <w:pStyle w:val="NoSpacing"/>
        <w:numPr>
          <w:ilvl w:val="0"/>
          <w:numId w:val="30"/>
        </w:numPr>
      </w:pPr>
      <w:r>
        <w:t>Residential Tenancies</w:t>
      </w:r>
    </w:p>
    <w:p w:rsidR="00761EB3" w:rsidRDefault="00761EB3" w:rsidP="00761EB3">
      <w:pPr>
        <w:pStyle w:val="NoSpacing"/>
        <w:numPr>
          <w:ilvl w:val="0"/>
          <w:numId w:val="30"/>
        </w:numPr>
      </w:pPr>
      <w:r>
        <w:t>Commercial Tenancies</w:t>
      </w:r>
    </w:p>
    <w:p w:rsidR="00761EB3" w:rsidRDefault="00761EB3" w:rsidP="00761EB3">
      <w:pPr>
        <w:pStyle w:val="NoSpacing"/>
        <w:numPr>
          <w:ilvl w:val="0"/>
          <w:numId w:val="30"/>
        </w:numPr>
      </w:pPr>
      <w:r>
        <w:t xml:space="preserve">Strata Titles (Condominium Law, Residential and Commercial) </w:t>
      </w:r>
    </w:p>
    <w:p w:rsidR="00761EB3" w:rsidRDefault="00761EB3" w:rsidP="00761EB3">
      <w:pPr>
        <w:pStyle w:val="NoSpacing"/>
      </w:pPr>
    </w:p>
    <w:p w:rsidR="00761EB3" w:rsidRPr="00761EB3" w:rsidRDefault="00761EB3" w:rsidP="00761EB3">
      <w:pPr>
        <w:pStyle w:val="Heading2"/>
        <w:numPr>
          <w:ilvl w:val="0"/>
          <w:numId w:val="0"/>
        </w:numPr>
        <w:ind w:left="576" w:hanging="576"/>
        <w:rPr>
          <w:color w:val="000000" w:themeColor="text1"/>
          <w:sz w:val="22"/>
        </w:rPr>
      </w:pPr>
      <w:r w:rsidRPr="00761EB3">
        <w:rPr>
          <w:color w:val="000000" w:themeColor="text1"/>
          <w:sz w:val="22"/>
        </w:rPr>
        <w:t>Canadian Health Facilities Law Guide</w:t>
      </w:r>
    </w:p>
    <w:p w:rsidR="00761EB3" w:rsidRDefault="00761EB3" w:rsidP="00761EB3">
      <w:pPr>
        <w:pStyle w:val="NoSpacing"/>
      </w:pPr>
    </w:p>
    <w:p w:rsidR="00761EB3" w:rsidRDefault="00761EB3" w:rsidP="00761EB3">
      <w:pPr>
        <w:pStyle w:val="NoSpacing"/>
      </w:pPr>
      <w:r>
        <w:t xml:space="preserve">Many of the laws and regulations governing health care facilities (hospitals, nursing homes, etc.) have been subject to extensive change in recent years. This Canadian Health Facilities Law Guide will keep you up-to-date by giving you the full text of statutes as well as selected regulations that relate to these facilities. </w:t>
      </w:r>
    </w:p>
    <w:p w:rsidR="00761EB3" w:rsidRDefault="00761EB3" w:rsidP="00761EB3">
      <w:pPr>
        <w:pStyle w:val="NoSpacing"/>
      </w:pPr>
    </w:p>
    <w:p w:rsidR="00761EB3" w:rsidRDefault="00761EB3" w:rsidP="00761EB3">
      <w:pPr>
        <w:pStyle w:val="NoSpacing"/>
      </w:pPr>
      <w:r>
        <w:t>A variety of commentary on topics such as:</w:t>
      </w:r>
    </w:p>
    <w:p w:rsidR="00761EB3" w:rsidRDefault="00761EB3" w:rsidP="00761EB3">
      <w:pPr>
        <w:pStyle w:val="NoSpacing"/>
      </w:pPr>
    </w:p>
    <w:p w:rsidR="00761EB3" w:rsidRDefault="00761EB3" w:rsidP="00761EB3">
      <w:pPr>
        <w:pStyle w:val="NoSpacing"/>
        <w:numPr>
          <w:ilvl w:val="0"/>
          <w:numId w:val="31"/>
        </w:numPr>
      </w:pPr>
      <w:r>
        <w:t>Patients' rights</w:t>
      </w:r>
    </w:p>
    <w:p w:rsidR="00761EB3" w:rsidRDefault="00761EB3" w:rsidP="00761EB3">
      <w:pPr>
        <w:pStyle w:val="NoSpacing"/>
        <w:numPr>
          <w:ilvl w:val="0"/>
          <w:numId w:val="31"/>
        </w:numPr>
      </w:pPr>
      <w:r>
        <w:t>Mental health</w:t>
      </w:r>
    </w:p>
    <w:p w:rsidR="00761EB3" w:rsidRDefault="00761EB3" w:rsidP="00761EB3">
      <w:pPr>
        <w:pStyle w:val="NoSpacing"/>
        <w:numPr>
          <w:ilvl w:val="0"/>
          <w:numId w:val="31"/>
        </w:numPr>
      </w:pPr>
      <w:r>
        <w:t xml:space="preserve">Consent and negligence </w:t>
      </w:r>
    </w:p>
    <w:p w:rsidR="00761EB3" w:rsidRDefault="00761EB3" w:rsidP="00761EB3">
      <w:pPr>
        <w:pStyle w:val="NoSpacing"/>
        <w:numPr>
          <w:ilvl w:val="0"/>
          <w:numId w:val="31"/>
        </w:numPr>
      </w:pPr>
      <w:r>
        <w:t>Specialty care units</w:t>
      </w:r>
    </w:p>
    <w:p w:rsidR="00761EB3" w:rsidRDefault="00761EB3" w:rsidP="00761EB3">
      <w:pPr>
        <w:pStyle w:val="NoSpacing"/>
        <w:numPr>
          <w:ilvl w:val="0"/>
          <w:numId w:val="31"/>
        </w:numPr>
      </w:pPr>
      <w:r>
        <w:t>Health information</w:t>
      </w:r>
    </w:p>
    <w:p w:rsidR="00761EB3" w:rsidRDefault="00761EB3" w:rsidP="00761EB3">
      <w:pPr>
        <w:pStyle w:val="NoSpacing"/>
        <w:numPr>
          <w:ilvl w:val="0"/>
          <w:numId w:val="31"/>
        </w:numPr>
      </w:pPr>
      <w:r>
        <w:t>Long-term care</w:t>
      </w:r>
    </w:p>
    <w:p w:rsidR="00761EB3" w:rsidRDefault="00761EB3" w:rsidP="00761EB3">
      <w:pPr>
        <w:pStyle w:val="NoSpacing"/>
        <w:numPr>
          <w:ilvl w:val="0"/>
          <w:numId w:val="31"/>
        </w:numPr>
      </w:pPr>
      <w:r>
        <w:t xml:space="preserve">Canada's health care system </w:t>
      </w:r>
    </w:p>
    <w:p w:rsidR="00761EB3" w:rsidRDefault="00761EB3" w:rsidP="00761EB3">
      <w:pPr>
        <w:pStyle w:val="NoSpacing"/>
      </w:pPr>
    </w:p>
    <w:p w:rsidR="00761EB3" w:rsidRPr="00AE0C38" w:rsidRDefault="00761EB3" w:rsidP="00AE0C38">
      <w:pPr>
        <w:rPr>
          <w:sz w:val="16"/>
        </w:rPr>
      </w:pPr>
    </w:p>
    <w:sectPr w:rsidR="00761EB3" w:rsidRPr="00AE0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302A"/>
    <w:multiLevelType w:val="hybridMultilevel"/>
    <w:tmpl w:val="07CA2F88"/>
    <w:lvl w:ilvl="0" w:tplc="F8EC339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73112"/>
    <w:multiLevelType w:val="hybridMultilevel"/>
    <w:tmpl w:val="E8DCDD7A"/>
    <w:lvl w:ilvl="0" w:tplc="4A54CD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82F9E"/>
    <w:multiLevelType w:val="hybridMultilevel"/>
    <w:tmpl w:val="F02EB0C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C03134"/>
    <w:multiLevelType w:val="hybridMultilevel"/>
    <w:tmpl w:val="DB7A5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F86EA6"/>
    <w:multiLevelType w:val="hybridMultilevel"/>
    <w:tmpl w:val="39608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656BBA"/>
    <w:multiLevelType w:val="hybridMultilevel"/>
    <w:tmpl w:val="03320A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8479A"/>
    <w:multiLevelType w:val="hybridMultilevel"/>
    <w:tmpl w:val="40D0C44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C97BC6"/>
    <w:multiLevelType w:val="hybridMultilevel"/>
    <w:tmpl w:val="7286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E437A"/>
    <w:multiLevelType w:val="hybridMultilevel"/>
    <w:tmpl w:val="DB12D80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21541D"/>
    <w:multiLevelType w:val="hybridMultilevel"/>
    <w:tmpl w:val="EBC45FB4"/>
    <w:lvl w:ilvl="0" w:tplc="7616CAB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E3D7C"/>
    <w:multiLevelType w:val="hybridMultilevel"/>
    <w:tmpl w:val="643E008E"/>
    <w:lvl w:ilvl="0" w:tplc="134CB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82A32"/>
    <w:multiLevelType w:val="hybridMultilevel"/>
    <w:tmpl w:val="FE2ED0B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B60599"/>
    <w:multiLevelType w:val="hybridMultilevel"/>
    <w:tmpl w:val="CA36F64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45162B"/>
    <w:multiLevelType w:val="hybridMultilevel"/>
    <w:tmpl w:val="490849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4D2BD7"/>
    <w:multiLevelType w:val="hybridMultilevel"/>
    <w:tmpl w:val="B4AA6726"/>
    <w:lvl w:ilvl="0" w:tplc="E3E460E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956FE6"/>
    <w:multiLevelType w:val="hybridMultilevel"/>
    <w:tmpl w:val="7458B7D4"/>
    <w:lvl w:ilvl="0" w:tplc="BF825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C747FD"/>
    <w:multiLevelType w:val="hybridMultilevel"/>
    <w:tmpl w:val="E9BA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94A2E"/>
    <w:multiLevelType w:val="hybridMultilevel"/>
    <w:tmpl w:val="0AC8E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510631"/>
    <w:multiLevelType w:val="hybridMultilevel"/>
    <w:tmpl w:val="6078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D00430"/>
    <w:multiLevelType w:val="hybridMultilevel"/>
    <w:tmpl w:val="86701AE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DCE1612"/>
    <w:multiLevelType w:val="hybridMultilevel"/>
    <w:tmpl w:val="BCD02884"/>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BE278F"/>
    <w:multiLevelType w:val="hybridMultilevel"/>
    <w:tmpl w:val="AF3031C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49118F"/>
    <w:multiLevelType w:val="multilevel"/>
    <w:tmpl w:val="4CD2864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7CC0545"/>
    <w:multiLevelType w:val="hybridMultilevel"/>
    <w:tmpl w:val="C4ACA2B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9A85E05"/>
    <w:multiLevelType w:val="hybridMultilevel"/>
    <w:tmpl w:val="6CE280A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7EA4878"/>
    <w:multiLevelType w:val="hybridMultilevel"/>
    <w:tmpl w:val="5010EB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92A4349"/>
    <w:multiLevelType w:val="hybridMultilevel"/>
    <w:tmpl w:val="265870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EC41B73"/>
    <w:multiLevelType w:val="hybridMultilevel"/>
    <w:tmpl w:val="9E2E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66E50"/>
    <w:multiLevelType w:val="hybridMultilevel"/>
    <w:tmpl w:val="9ADA1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9627047"/>
    <w:multiLevelType w:val="hybridMultilevel"/>
    <w:tmpl w:val="2A5A259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FD200AF"/>
    <w:multiLevelType w:val="hybridMultilevel"/>
    <w:tmpl w:val="DF90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0"/>
  </w:num>
  <w:num w:numId="4">
    <w:abstractNumId w:val="5"/>
  </w:num>
  <w:num w:numId="5">
    <w:abstractNumId w:val="9"/>
  </w:num>
  <w:num w:numId="6">
    <w:abstractNumId w:val="0"/>
  </w:num>
  <w:num w:numId="7">
    <w:abstractNumId w:val="14"/>
  </w:num>
  <w:num w:numId="8">
    <w:abstractNumId w:val="25"/>
  </w:num>
  <w:num w:numId="9">
    <w:abstractNumId w:val="18"/>
  </w:num>
  <w:num w:numId="10">
    <w:abstractNumId w:val="17"/>
  </w:num>
  <w:num w:numId="11">
    <w:abstractNumId w:val="2"/>
  </w:num>
  <w:num w:numId="12">
    <w:abstractNumId w:val="20"/>
  </w:num>
  <w:num w:numId="13">
    <w:abstractNumId w:val="4"/>
  </w:num>
  <w:num w:numId="14">
    <w:abstractNumId w:val="24"/>
  </w:num>
  <w:num w:numId="15">
    <w:abstractNumId w:val="8"/>
  </w:num>
  <w:num w:numId="16">
    <w:abstractNumId w:val="6"/>
  </w:num>
  <w:num w:numId="17">
    <w:abstractNumId w:val="21"/>
  </w:num>
  <w:num w:numId="18">
    <w:abstractNumId w:val="26"/>
  </w:num>
  <w:num w:numId="19">
    <w:abstractNumId w:val="23"/>
  </w:num>
  <w:num w:numId="20">
    <w:abstractNumId w:val="19"/>
  </w:num>
  <w:num w:numId="21">
    <w:abstractNumId w:val="28"/>
  </w:num>
  <w:num w:numId="22">
    <w:abstractNumId w:val="29"/>
  </w:num>
  <w:num w:numId="23">
    <w:abstractNumId w:val="11"/>
  </w:num>
  <w:num w:numId="24">
    <w:abstractNumId w:val="3"/>
  </w:num>
  <w:num w:numId="25">
    <w:abstractNumId w:val="13"/>
  </w:num>
  <w:num w:numId="26">
    <w:abstractNumId w:val="12"/>
  </w:num>
  <w:num w:numId="27">
    <w:abstractNumId w:val="22"/>
  </w:num>
  <w:num w:numId="28">
    <w:abstractNumId w:val="30"/>
  </w:num>
  <w:num w:numId="29">
    <w:abstractNumId w:val="27"/>
  </w:num>
  <w:num w:numId="30">
    <w:abstractNumId w:val="1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6C"/>
    <w:rsid w:val="002E6A05"/>
    <w:rsid w:val="00577BD0"/>
    <w:rsid w:val="005C0D4B"/>
    <w:rsid w:val="00761EB3"/>
    <w:rsid w:val="007650B3"/>
    <w:rsid w:val="009F1077"/>
    <w:rsid w:val="00AB3B56"/>
    <w:rsid w:val="00AB5C20"/>
    <w:rsid w:val="00AE0C38"/>
    <w:rsid w:val="00B07FB2"/>
    <w:rsid w:val="00C11778"/>
    <w:rsid w:val="00C77423"/>
    <w:rsid w:val="00D5605D"/>
    <w:rsid w:val="00DC103C"/>
    <w:rsid w:val="00EE476C"/>
    <w:rsid w:val="00F3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5255AF-5CE2-4053-9367-470FE063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EB3"/>
    <w:pPr>
      <w:keepNext/>
      <w:keepLines/>
      <w:numPr>
        <w:numId w:val="27"/>
      </w:numPr>
      <w:spacing w:before="480" w:after="0"/>
      <w:outlineLvl w:val="0"/>
    </w:pPr>
    <w:rPr>
      <w:rFonts w:asciiTheme="majorHAnsi" w:eastAsiaTheme="majorEastAsia" w:hAnsiTheme="majorHAnsi" w:cstheme="majorBidi"/>
      <w:b/>
      <w:bCs/>
      <w:color w:val="FF0000"/>
      <w:sz w:val="28"/>
      <w:szCs w:val="28"/>
    </w:rPr>
  </w:style>
  <w:style w:type="paragraph" w:styleId="Heading2">
    <w:name w:val="heading 2"/>
    <w:basedOn w:val="Normal"/>
    <w:next w:val="Normal"/>
    <w:link w:val="Heading2Char"/>
    <w:uiPriority w:val="9"/>
    <w:unhideWhenUsed/>
    <w:qFormat/>
    <w:rsid w:val="00761EB3"/>
    <w:pPr>
      <w:keepNext/>
      <w:keepLines/>
      <w:numPr>
        <w:ilvl w:val="1"/>
        <w:numId w:val="27"/>
      </w:numPr>
      <w:spacing w:before="200" w:after="0"/>
      <w:outlineLvl w:val="1"/>
    </w:pPr>
    <w:rPr>
      <w:rFonts w:asciiTheme="majorHAnsi" w:eastAsiaTheme="majorEastAsia" w:hAnsiTheme="majorHAnsi" w:cstheme="majorBidi"/>
      <w:b/>
      <w:bCs/>
      <w:color w:val="FF0000"/>
      <w:sz w:val="26"/>
      <w:szCs w:val="26"/>
    </w:rPr>
  </w:style>
  <w:style w:type="paragraph" w:styleId="Heading3">
    <w:name w:val="heading 3"/>
    <w:basedOn w:val="Normal"/>
    <w:next w:val="Normal"/>
    <w:link w:val="Heading3Char"/>
    <w:uiPriority w:val="9"/>
    <w:unhideWhenUsed/>
    <w:qFormat/>
    <w:rsid w:val="00761EB3"/>
    <w:pPr>
      <w:keepNext/>
      <w:keepLines/>
      <w:numPr>
        <w:ilvl w:val="2"/>
        <w:numId w:val="27"/>
      </w:numPr>
      <w:spacing w:before="200" w:after="0"/>
      <w:outlineLvl w:val="2"/>
    </w:pPr>
    <w:rPr>
      <w:rFonts w:asciiTheme="majorHAnsi" w:eastAsiaTheme="majorEastAsia" w:hAnsiTheme="majorHAnsi" w:cstheme="majorBidi"/>
      <w:b/>
      <w:bCs/>
      <w:color w:val="FF0000"/>
    </w:rPr>
  </w:style>
  <w:style w:type="paragraph" w:styleId="Heading4">
    <w:name w:val="heading 4"/>
    <w:basedOn w:val="Normal"/>
    <w:next w:val="Normal"/>
    <w:link w:val="Heading4Char"/>
    <w:uiPriority w:val="9"/>
    <w:unhideWhenUsed/>
    <w:qFormat/>
    <w:rsid w:val="00761EB3"/>
    <w:pPr>
      <w:keepNext/>
      <w:keepLines/>
      <w:numPr>
        <w:ilvl w:val="3"/>
        <w:numId w:val="27"/>
      </w:numPr>
      <w:spacing w:before="200" w:after="0"/>
      <w:outlineLvl w:val="3"/>
    </w:pPr>
    <w:rPr>
      <w:rFonts w:asciiTheme="majorHAnsi" w:eastAsiaTheme="majorEastAsia" w:hAnsiTheme="majorHAnsi" w:cstheme="majorBidi"/>
      <w:b/>
      <w:bCs/>
      <w:i/>
      <w:iCs/>
      <w:color w:val="FF0000"/>
    </w:rPr>
  </w:style>
  <w:style w:type="paragraph" w:styleId="Heading5">
    <w:name w:val="heading 5"/>
    <w:basedOn w:val="Normal"/>
    <w:next w:val="Normal"/>
    <w:link w:val="Heading5Char"/>
    <w:uiPriority w:val="9"/>
    <w:semiHidden/>
    <w:unhideWhenUsed/>
    <w:qFormat/>
    <w:rsid w:val="00761EB3"/>
    <w:pPr>
      <w:keepNext/>
      <w:keepLines/>
      <w:numPr>
        <w:ilvl w:val="4"/>
        <w:numId w:val="2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61EB3"/>
    <w:pPr>
      <w:keepNext/>
      <w:keepLines/>
      <w:numPr>
        <w:ilvl w:val="5"/>
        <w:numId w:val="2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61EB3"/>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61EB3"/>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61EB3"/>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4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76C"/>
    <w:pPr>
      <w:ind w:left="720"/>
      <w:contextualSpacing/>
    </w:pPr>
  </w:style>
  <w:style w:type="paragraph" w:styleId="BalloonText">
    <w:name w:val="Balloon Text"/>
    <w:basedOn w:val="Normal"/>
    <w:link w:val="BalloonTextChar"/>
    <w:uiPriority w:val="99"/>
    <w:semiHidden/>
    <w:unhideWhenUsed/>
    <w:rsid w:val="00D56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05D"/>
    <w:rPr>
      <w:rFonts w:ascii="Tahoma" w:hAnsi="Tahoma" w:cs="Tahoma"/>
      <w:sz w:val="16"/>
      <w:szCs w:val="16"/>
    </w:rPr>
  </w:style>
  <w:style w:type="character" w:customStyle="1" w:styleId="Heading1Char">
    <w:name w:val="Heading 1 Char"/>
    <w:basedOn w:val="DefaultParagraphFont"/>
    <w:link w:val="Heading1"/>
    <w:uiPriority w:val="9"/>
    <w:rsid w:val="00761EB3"/>
    <w:rPr>
      <w:rFonts w:asciiTheme="majorHAnsi" w:eastAsiaTheme="majorEastAsia" w:hAnsiTheme="majorHAnsi" w:cstheme="majorBidi"/>
      <w:b/>
      <w:bCs/>
      <w:color w:val="FF0000"/>
      <w:sz w:val="28"/>
      <w:szCs w:val="28"/>
    </w:rPr>
  </w:style>
  <w:style w:type="character" w:customStyle="1" w:styleId="Heading2Char">
    <w:name w:val="Heading 2 Char"/>
    <w:basedOn w:val="DefaultParagraphFont"/>
    <w:link w:val="Heading2"/>
    <w:uiPriority w:val="9"/>
    <w:rsid w:val="00761EB3"/>
    <w:rPr>
      <w:rFonts w:asciiTheme="majorHAnsi" w:eastAsiaTheme="majorEastAsia" w:hAnsiTheme="majorHAnsi" w:cstheme="majorBidi"/>
      <w:b/>
      <w:bCs/>
      <w:color w:val="FF0000"/>
      <w:sz w:val="26"/>
      <w:szCs w:val="26"/>
    </w:rPr>
  </w:style>
  <w:style w:type="character" w:customStyle="1" w:styleId="Heading3Char">
    <w:name w:val="Heading 3 Char"/>
    <w:basedOn w:val="DefaultParagraphFont"/>
    <w:link w:val="Heading3"/>
    <w:uiPriority w:val="9"/>
    <w:rsid w:val="00761EB3"/>
    <w:rPr>
      <w:rFonts w:asciiTheme="majorHAnsi" w:eastAsiaTheme="majorEastAsia" w:hAnsiTheme="majorHAnsi" w:cstheme="majorBidi"/>
      <w:b/>
      <w:bCs/>
      <w:color w:val="FF0000"/>
    </w:rPr>
  </w:style>
  <w:style w:type="character" w:customStyle="1" w:styleId="Heading4Char">
    <w:name w:val="Heading 4 Char"/>
    <w:basedOn w:val="DefaultParagraphFont"/>
    <w:link w:val="Heading4"/>
    <w:uiPriority w:val="9"/>
    <w:rsid w:val="00761EB3"/>
    <w:rPr>
      <w:rFonts w:asciiTheme="majorHAnsi" w:eastAsiaTheme="majorEastAsia" w:hAnsiTheme="majorHAnsi" w:cstheme="majorBidi"/>
      <w:b/>
      <w:bCs/>
      <w:i/>
      <w:iCs/>
      <w:color w:val="FF0000"/>
    </w:rPr>
  </w:style>
  <w:style w:type="character" w:customStyle="1" w:styleId="Heading5Char">
    <w:name w:val="Heading 5 Char"/>
    <w:basedOn w:val="DefaultParagraphFont"/>
    <w:link w:val="Heading5"/>
    <w:uiPriority w:val="9"/>
    <w:semiHidden/>
    <w:rsid w:val="00761EB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61EB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61E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61EB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61EB3"/>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761E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90661-8B66-4013-9A21-063D16C5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Elsevier</dc:creator>
  <cp:lastModifiedBy>Caroline Daniels</cp:lastModifiedBy>
  <cp:revision>2</cp:revision>
  <cp:lastPrinted>2016-11-07T14:41:00Z</cp:lastPrinted>
  <dcterms:created xsi:type="dcterms:W3CDTF">2016-11-29T06:33:00Z</dcterms:created>
  <dcterms:modified xsi:type="dcterms:W3CDTF">2016-11-29T06:33:00Z</dcterms:modified>
</cp:coreProperties>
</file>